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47DC" w:rsidRDefault="00B647DC">
      <w:pPr>
        <w:widowControl w:val="0"/>
        <w:pBdr>
          <w:top w:val="nil"/>
          <w:left w:val="nil"/>
          <w:bottom w:val="nil"/>
          <w:right w:val="nil"/>
          <w:between w:val="nil"/>
        </w:pBdr>
        <w:spacing w:after="0"/>
      </w:pPr>
    </w:p>
    <w:p w14:paraId="00000002" w14:textId="77777777" w:rsidR="00B647DC" w:rsidRDefault="00415A4E">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sectPr w:rsidR="00B647DC">
          <w:headerReference w:type="even" r:id="rId8"/>
          <w:headerReference w:type="default" r:id="rId9"/>
          <w:footerReference w:type="even" r:id="rId10"/>
          <w:footerReference w:type="default" r:id="rId11"/>
          <w:headerReference w:type="first" r:id="rId12"/>
          <w:footerReference w:type="first" r:id="rId13"/>
          <w:pgSz w:w="11906" w:h="16838"/>
          <w:pgMar w:top="1134" w:right="1417" w:bottom="1134" w:left="1417" w:header="709" w:footer="709" w:gutter="0"/>
          <w:pgNumType w:start="0"/>
          <w:cols w:space="708"/>
        </w:sectPr>
      </w:pPr>
      <w:bookmarkStart w:id="0" w:name="bookmark=id.d5p880yfm6fu" w:colFirst="0" w:colLast="0"/>
      <w:bookmarkEnd w:id="0"/>
      <w:r>
        <w:rPr>
          <w:rFonts w:ascii="Times New Roman" w:eastAsia="Times New Roman" w:hAnsi="Times New Roman" w:cs="Times New Roman"/>
          <w:color w:val="000000"/>
          <w:sz w:val="24"/>
          <w:szCs w:val="24"/>
        </w:rPr>
        <w:pict w14:anchorId="27134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2340131-2C8E-4A4B-8865-E41881EB91B3" style="width:450.75pt;height:393pt">
            <v:imagedata r:id="rId14" o:title=""/>
          </v:shape>
        </w:pict>
      </w:r>
    </w:p>
    <w:p w14:paraId="00000003"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BIJLAGE 3</w:t>
      </w:r>
    </w:p>
    <w:p w14:paraId="00000004" w14:textId="77777777" w:rsidR="00B647DC" w:rsidRDefault="00B647DC">
      <w:pPr>
        <w:spacing w:before="120" w:after="120" w:line="240" w:lineRule="auto"/>
        <w:jc w:val="center"/>
        <w:rPr>
          <w:rFonts w:ascii="Times New Roman" w:eastAsia="Times New Roman" w:hAnsi="Times New Roman" w:cs="Times New Roman"/>
          <w:sz w:val="24"/>
          <w:szCs w:val="24"/>
        </w:rPr>
      </w:pPr>
    </w:p>
    <w:p w14:paraId="00000005" w14:textId="77777777" w:rsidR="00B647DC"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STANDAARDCONTRACTBEPALINGEN</w:t>
      </w:r>
    </w:p>
    <w:p w14:paraId="00000006" w14:textId="77777777" w:rsidR="00B647DC" w:rsidRDefault="00B647DC">
      <w:pPr>
        <w:spacing w:before="120" w:after="120" w:line="240" w:lineRule="auto"/>
        <w:jc w:val="center"/>
        <w:rPr>
          <w:rFonts w:ascii="Times New Roman" w:eastAsia="Times New Roman" w:hAnsi="Times New Roman" w:cs="Times New Roman"/>
          <w:b/>
          <w:sz w:val="24"/>
          <w:szCs w:val="24"/>
        </w:rPr>
      </w:pPr>
    </w:p>
    <w:p w14:paraId="00000007"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w:t>
      </w:r>
    </w:p>
    <w:p w14:paraId="00000008"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w:t>
      </w:r>
    </w:p>
    <w:p w14:paraId="00000009"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Doel en toepassingsgebied </w:t>
      </w:r>
    </w:p>
    <w:p w14:paraId="0000000A"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standaardcontractbepalingen hebben tot doel de naleving van de in Verordening (EU) 2016/679 van het Europees Parlement en de Raad van 27 april 2016 betreffende de bescherming van natuurlijke personen in verband met de verwerking van persoonsgegevens en betreffende het vrije verkeer van die gegevens (AVG, algemene verordening gegevensbescherming)</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bepaalde vereisten te garanderen voor de doorgifte van persoonsgegevens naar een derde land.</w:t>
      </w:r>
    </w:p>
    <w:p w14:paraId="0000000B"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w:t>
      </w:r>
    </w:p>
    <w:p w14:paraId="0000000C" w14:textId="77777777" w:rsidR="00B647DC"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natuurlijke of rechtspersonen en de overheidsinstellingen, -organen en -instanties (hierna “entiteiten” genoemd) die de in bijlage I.A bedoelde persoonsgegevens doorgeven (“gegevensexporteur”); en</w:t>
      </w:r>
    </w:p>
    <w:p w14:paraId="0000000D" w14:textId="77777777" w:rsidR="00B647DC"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entiteiten in een derde land die de persoonsgegevens van de gegevensexporteur ontvangen, direct of indirect via een andere entiteit die ook partij is bij deze bepalingen, zoals opgenomen in bijlage I.A (hierna “gegevensimporteur” genoemd)</w:t>
      </w:r>
    </w:p>
    <w:p w14:paraId="0000000E"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zijn deze standaardcontractbepalingen (hierna: “bepalingen” genoemd) overeengekomen. </w:t>
      </w:r>
    </w:p>
    <w:p w14:paraId="0000000F"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zijn van toepassing op de doorgifte van persoonsgegevens zoals opgenomen in bijlage Annex I.B. </w:t>
      </w:r>
    </w:p>
    <w:p w14:paraId="00000010"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aanhangsel bij deze bepalingen dat de daarin genoemde bijlagen bevat, maakt integraal deel uit van deze bepalingen.</w:t>
      </w:r>
    </w:p>
    <w:p w14:paraId="0000001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Bepaling 2</w:t>
      </w:r>
    </w:p>
    <w:p w14:paraId="00000012"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Effect en onveranderlijkheid van de bepalingen</w:t>
      </w:r>
    </w:p>
    <w:p w14:paraId="00000013" w14:textId="77777777" w:rsidR="00B647DC" w:rsidRDefault="00000000">
      <w:pPr>
        <w:numPr>
          <w:ilvl w:val="5"/>
          <w:numId w:val="16"/>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deze bepalingen worden passende waarborgen vastgesteld, met inbegrip van afdwingbare rechten van betrokkenen en doeltreffende rechtsmiddelen, overeenkomstig artikel 46, lid 1, en artikel 46, lid 2, punt c), van Verordening (EU) 2016/679 alsook, met betrekking tot gegevensdoorgiften van verwerkingsverantwoordelijken aan verwerkers en/of van verwerkers aan verwerkers, standaardcontractbepalingen overeenkomstig artikel 28, lid 7, van Verordening (EU) 2016/679, mits deze niet worden gewijzigd, behalve om de geschikte module(s) te selecteren of om informatie in het aanhangsel toe te voegen of te wijzigen. Dit houdt niet in dat de partijen de in deze bepalingen neergelegde standaardcontractbepalingen niet in een bredere overeenkomst mogen opnemen en/of andere bepalingen of extra waarborgen mogen toevoegen, mits deze niet direct of indirect in tegenspraak zijn met deze bepalingen en geen afbreuk doen aan de grondrechten of de fundamentele vrijheden van de betrokkenen. </w:t>
      </w:r>
    </w:p>
    <w:p w14:paraId="00000014" w14:textId="77777777" w:rsidR="00B647DC" w:rsidRDefault="00000000">
      <w:pPr>
        <w:numPr>
          <w:ilvl w:val="5"/>
          <w:numId w:val="16"/>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bepalingen doen geen afbreuk aan de krachtens Verordening (EU) 2016/679 op de gegevensexporteur rustende verplichtingen.</w:t>
      </w:r>
    </w:p>
    <w:p w14:paraId="00000015"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3</w:t>
      </w:r>
    </w:p>
    <w:p w14:paraId="00000016"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Derde-begunstigden</w:t>
      </w:r>
    </w:p>
    <w:p w14:paraId="00000017" w14:textId="77777777" w:rsidR="00B647DC"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Betrokkenen mogen zich als derde-begunstigden op deze bepalingen beroepen en deze doen gelden tegen de gegevensexporteur en/of de gegevensimporteur, met de volgende uitzonderingen:</w:t>
      </w:r>
    </w:p>
    <w:p w14:paraId="00000018"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 bepaling 2, bepaling 3, bepaling 6, bepaling 7;</w:t>
      </w:r>
    </w:p>
    <w:p w14:paraId="00000019"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8 - module een: Bepaling 8.5, punt e) en bepaling 8.9, punt b); Module twee: Bepaling 8.1, punt b), bepaling 8.9, punten a), c), d) en e); Module drie: Bepaling 8.1, punten a), c) en d) en bepaling 8.9, punten a), c), d), e), f) en g); Module vier: Bepaling 8.1, punt b) en bepaling 8.3, punt b);</w:t>
      </w:r>
    </w:p>
    <w:p w14:paraId="0000001A"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9 - module twee: Bepaling 9, punten a), c), d) en e); Module drie: Bepaling 9, punten a), c), d) en e);</w:t>
      </w:r>
    </w:p>
    <w:p w14:paraId="0000001B"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12 - module een: Bepaling 12, punten a) en d); Modulen twee en drie: Bepaling 12, punten a), d) en f);</w:t>
      </w:r>
    </w:p>
    <w:p w14:paraId="0000001C"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13;</w:t>
      </w:r>
    </w:p>
    <w:p w14:paraId="0000001D"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15.1, punten c), d) en e);</w:t>
      </w:r>
    </w:p>
    <w:p w14:paraId="0000001E"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16, punt e);</w:t>
      </w:r>
    </w:p>
    <w:p w14:paraId="0000001F"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18 - modulen een, twee en drie: Bepaling 18, punten a) en b); Module vier: Clausule 18.</w:t>
      </w:r>
    </w:p>
    <w:p w14:paraId="00000020" w14:textId="77777777" w:rsidR="00B647DC"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Punt a) doet geen afbreuk aan de rechten van betrokkenen krachtens Verordening (EU) 2016/679.</w:t>
      </w:r>
    </w:p>
    <w:p w14:paraId="0000002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4</w:t>
      </w:r>
    </w:p>
    <w:p w14:paraId="00000022"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Interpretatie</w:t>
      </w:r>
    </w:p>
    <w:p w14:paraId="00000023"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Wanneer in deze bepalingen in Verordening (EU) 2016/679 gedefinieerde termen worden gebruikt, hebben die termen dezelfde betekenis als in die verordening.</w:t>
      </w:r>
    </w:p>
    <w:p w14:paraId="00000024"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bepalingen worden gelezen en geïnterpreteerd in het licht van de bepalingen van Verordening (EU) 2016/679.</w:t>
      </w:r>
    </w:p>
    <w:p w14:paraId="00000025"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worden niet geïnterpreteerd op een wijze die in tegenspraak is met de in Verordening (EU) 2016/679 vastgestelde rechten en verplichtingen. </w:t>
      </w:r>
    </w:p>
    <w:p w14:paraId="00000026" w14:textId="77777777" w:rsidR="00B647DC" w:rsidRDefault="00000000">
      <w:pPr>
        <w:rPr>
          <w:rFonts w:ascii="Times New Roman" w:eastAsia="Times New Roman" w:hAnsi="Times New Roman" w:cs="Times New Roman"/>
          <w:i/>
          <w:sz w:val="24"/>
          <w:szCs w:val="24"/>
        </w:rPr>
      </w:pPr>
      <w:r>
        <w:br w:type="page"/>
      </w:r>
    </w:p>
    <w:p w14:paraId="0000002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Bepaling 5</w:t>
      </w:r>
    </w:p>
    <w:p w14:paraId="0000002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Hiërarchie</w:t>
      </w:r>
    </w:p>
    <w:p w14:paraId="0000002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geval van tegenspraak tussen deze bepalingen en de bepalingen van aanverwante overeenkomsten tussen de partijen die bestonden ten tijde van het overeenkomen van deze bepalingen of die daarna werden gesloten, hebben deze bepalingen voorrang.</w:t>
      </w:r>
    </w:p>
    <w:p w14:paraId="0000002A"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Clausule 6</w:t>
      </w:r>
    </w:p>
    <w:p w14:paraId="0000002B"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Beschrijving van de doorgifte(n)</w:t>
      </w:r>
    </w:p>
    <w:p w14:paraId="0000002C"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details van de doorgifte(n), en in het bijzonder de categorieën van persoonsgegevens die worden doorgegeven en het doel waarvoor zij worden doorgegeven, worden in bijlage I.B nader gespecificeerd.</w:t>
      </w:r>
    </w:p>
    <w:p w14:paraId="0000002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7 - Facultatief</w:t>
      </w:r>
    </w:p>
    <w:p w14:paraId="0000002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Docking-bepaling</w:t>
      </w:r>
    </w:p>
    <w:p w14:paraId="0000002F"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Een entiteit die geen partij is bij deze bepalingen mag, met het akkoord van de partijen, te allen tijde tot deze bepalingen toetreden, hetzij als gegevensexporteur, hetzij als gegevensimporteur, door het aanhangsel in te vullen en bijlage I.A te ondertekenen.  </w:t>
      </w:r>
    </w:p>
    <w:p w14:paraId="00000030"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Als de toetredende entiteit het aanhangsel heeft ingevuld en bijlage I.A heeft ondertekend, wordt zij een partij bij deze bepalingen en krijgt zij de rechten en verplichtingen van een gegevensexporteur of een gegevensimporteur in overeenstemming met haar benoeming in bijlage I.A.</w:t>
      </w:r>
    </w:p>
    <w:p w14:paraId="00000031"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toetredende entiteit heeft geen rechten of verplichtingen uit hoofde van deze bepalingen uit de periode voordat zij partij werd.</w:t>
      </w:r>
    </w:p>
    <w:p w14:paraId="00000032"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33"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II – VERPLICHTINGEN VAN DE PARTIJEN</w:t>
      </w:r>
    </w:p>
    <w:p w14:paraId="0000003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8</w:t>
      </w:r>
    </w:p>
    <w:p w14:paraId="0000003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Waarborgen inzake gegevensbescherming</w:t>
      </w:r>
    </w:p>
    <w:p w14:paraId="00000036"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gegevensexporteur garandeert dat hij redelijke inspanningen heeft geleverd om te bepalen of de gegevensimporteur, door de uitvoering van passende technische en organisatorische maatregelen, in staat is zijn verplichtingen uit hoofde van deze bepalingen na te komen. </w:t>
      </w:r>
    </w:p>
    <w:p w14:paraId="00000037" w14:textId="77777777" w:rsidR="00B647DC" w:rsidRDefault="00B647DC">
      <w:pPr>
        <w:spacing w:before="120" w:after="120" w:line="240" w:lineRule="auto"/>
        <w:jc w:val="both"/>
        <w:rPr>
          <w:rFonts w:ascii="Times New Roman" w:eastAsia="Times New Roman" w:hAnsi="Times New Roman" w:cs="Times New Roman"/>
          <w:b/>
          <w:sz w:val="24"/>
          <w:szCs w:val="24"/>
          <w:highlight w:val="magenta"/>
        </w:rPr>
      </w:pPr>
    </w:p>
    <w:p w14:paraId="00000038" w14:textId="77777777" w:rsidR="00B647DC"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8.1</w:t>
      </w:r>
      <w:r>
        <w:tab/>
      </w:r>
      <w:r>
        <w:rPr>
          <w:rFonts w:ascii="Times New Roman" w:eastAsia="Times New Roman" w:hAnsi="Times New Roman" w:cs="Times New Roman"/>
          <w:b/>
          <w:sz w:val="24"/>
          <w:szCs w:val="24"/>
        </w:rPr>
        <w:t>Doelbinding</w:t>
      </w:r>
    </w:p>
    <w:p w14:paraId="0000003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verwerkt de persoonsgegevens alleen voor het specifieke doel van de doorgifte, zoals opgenomen in bijlage I.B. Hij mag de persoonsgegevens alleen voor een ander doeleinde verwerken: </w:t>
      </w:r>
    </w:p>
    <w:p w14:paraId="0000003A"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hij voorafgaande toestemming van de betrokkene heeft verkregen; </w:t>
      </w:r>
    </w:p>
    <w:p w14:paraId="0000003B"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dat noodzakelijk is voor de vaststelling, de uitoefening of de onderbouwing van een rechtsvordering in de context van bepaalde administratieve, regelgevings- of gerechtelijke procedures; of </w:t>
      </w:r>
    </w:p>
    <w:p w14:paraId="0000003C"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indien dat noodzakelijk is om de vitale belangen van de betrokkene of van een andere natuurlijke persoon te beschermen.</w:t>
      </w:r>
    </w:p>
    <w:p w14:paraId="0000003D"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8.2</w:t>
      </w:r>
      <w:r>
        <w:tab/>
      </w:r>
      <w:r>
        <w:rPr>
          <w:rFonts w:ascii="Times New Roman" w:eastAsia="Times New Roman" w:hAnsi="Times New Roman" w:cs="Times New Roman"/>
          <w:b/>
          <w:sz w:val="24"/>
          <w:szCs w:val="24"/>
        </w:rPr>
        <w:t xml:space="preserve">Transparantie </w:t>
      </w:r>
    </w:p>
    <w:p w14:paraId="0000003E"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Teneinde betrokkenen in staat te stellen hun rechten op een doeltreffende wijze uit te oefenen overeenkomstig bepaling 10, stelt de gegevensimporteur hen rechtstreeks of via de gegevensexporteur in kennis van:</w:t>
      </w:r>
    </w:p>
    <w:p w14:paraId="0000003F"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zijn identiteit en contactgegevens;</w:t>
      </w:r>
    </w:p>
    <w:p w14:paraId="00000040"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categorieën van verwerkte persoonsgegevens;</w:t>
      </w:r>
    </w:p>
    <w:p w14:paraId="00000041"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recht om een kopie van deze bepalingen te verkrijgen;</w:t>
      </w:r>
    </w:p>
    <w:p w14:paraId="00000042"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hij voornemens is de persoonsgegevens verder door te geven aan een derde partij, van de ontvanger of categorieën van ontvangers (zo nodig om nuttige informatie te verstrekken), van het doel van een dergelijke verdere doorgifte en van de grond daarvoor overeenkomstig bepaling 8.7.</w:t>
      </w:r>
    </w:p>
    <w:p w14:paraId="00000043"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Punt a) is niet van toepassing wanneer de betrokkene reeds over de informatie beschikt, ook wanneer die informatie al door de gegevensexporteur is verstrekt, of indien het verstrekken van de informatie onmogelijk blijkt te zijn of een onevenredige inspanning van de gegevensimporteur zou vergen. In het laatste geval maakt de gegevensimporteur de informatie, voor zover mogelijk, openbaar.</w:t>
      </w:r>
    </w:p>
    <w:p w14:paraId="00000044"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maken op verzoek een kopie van deze bepalingen, met inbegrip van het door de partijen ingevulde aanhangsel, dat gratis beschikbaar is voor de betrokkene. Voor zover dit noodzakelijk is om bedrijfsgeheimen of andere vertrouwelijke informatie, waaronder persoonsgegevens, te beschermen, mogen de partijen een gedeelte van de tekst van het aanhangsel redigeren voordat zij een kopie delen. Zij moeten daarbij evenwel een relevante samenvatting verstrekken indien de betrokkene anders de inhoud ervan niet zou kunnen begrijpen of zijn/haar rechten niet zou kunnen uitoefenen. Op verzoek delen de partijen de betrokkene de redenen voor het redigeren mee, voor zover mogelijk zonder de geredigeerde informatie te onthullen.</w:t>
      </w:r>
    </w:p>
    <w:p w14:paraId="00000045"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punten a) tot en met c) doen geen afbreuk aan de verplichtingen van de gegevensexporteur op grond van de artikelen 13 en 14 van Verordening (EU) 2016/679.  </w:t>
      </w:r>
    </w:p>
    <w:p w14:paraId="00000046"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8.3</w:t>
      </w:r>
      <w:r>
        <w:tab/>
      </w:r>
      <w:r>
        <w:rPr>
          <w:rFonts w:ascii="Times New Roman" w:eastAsia="Times New Roman" w:hAnsi="Times New Roman" w:cs="Times New Roman"/>
          <w:b/>
          <w:sz w:val="24"/>
          <w:szCs w:val="24"/>
        </w:rPr>
        <w:t>Nauwkeurigheid en gegevensminimalisering</w:t>
      </w:r>
    </w:p>
    <w:p w14:paraId="00000047"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ziet erop toe dat de persoonsgegevens juist en, waar nodig, actueel zijn. De gegevensimporteur neemt alle redelijke maatregelen om ervoor te zorgen dat, met betrekking tot het doel van de verwerking, onjuiste persoonsgegevens onverwijld worden gewist of gerectificeerd.</w:t>
      </w:r>
    </w:p>
    <w:p w14:paraId="00000048"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een van de partijen te weten komt dat de persoonsgegevens die zij heeft doorgegeven of ontvangen onjuist of verouderd zijn, stelt zij de andere partij daarvan onverwijld in kennis.</w:t>
      </w:r>
    </w:p>
    <w:p w14:paraId="00000049"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ziet erop toe dat de persoonsgegevens juist, relevant en beperkt zijn tot wat noodzakelijk is in verband met het doel van de verwerking. </w:t>
      </w:r>
    </w:p>
    <w:p w14:paraId="0000004A"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8.4</w:t>
      </w:r>
      <w:r>
        <w:tab/>
      </w:r>
      <w:r>
        <w:rPr>
          <w:rFonts w:ascii="Times New Roman" w:eastAsia="Times New Roman" w:hAnsi="Times New Roman" w:cs="Times New Roman"/>
          <w:b/>
          <w:sz w:val="24"/>
          <w:szCs w:val="24"/>
        </w:rPr>
        <w:t>Opslagbeperking</w:t>
      </w:r>
    </w:p>
    <w:p w14:paraId="0000004B"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bewaart de persoonsgegevens niet langer dan noodzakelijk is voor het doel waarvoor zij worden verwerkt. Om naleving van deze verplichting te waarborgen, neemt hij passende technische of organisatorische maatregelen, zoals het wissen of anonimiseren</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van de gegevens en alle backups na afloop van de bewaartermijn. </w:t>
      </w:r>
    </w:p>
    <w:p w14:paraId="0000004C"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8.5</w:t>
      </w:r>
      <w:r>
        <w:tab/>
      </w:r>
      <w:r>
        <w:rPr>
          <w:rFonts w:ascii="Times New Roman" w:eastAsia="Times New Roman" w:hAnsi="Times New Roman" w:cs="Times New Roman"/>
          <w:b/>
          <w:sz w:val="24"/>
          <w:szCs w:val="24"/>
        </w:rPr>
        <w:t>Beveiliging van de verwerking</w:t>
      </w:r>
    </w:p>
    <w:p w14:paraId="0000004D"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en, tijdens de toezending, ook de gegevensexporteur, neemt passende technische en organisatorische maatregelen om de beveiliging van de persoonsgegevens te waarborgen, met inbegrip van bescherming tegen een inbreuk op de beveiliging die per ongeluk of op onrechtmatige wijze leidt tot vernietiging, verlies, wijziging of ongeoorloofde verstrekking of toegang (“inbreuk in verband met persoonsgegevens”). Bij het beoordelen van het passende beveiligingsniveau houden zij naar behoren rekening met de stand van de techniek, de uitvoeringskosten, de aard, reikwijdte, context en doeleinden van de verwerking, en met de risico’s die de verwerking met zich meebrengt voor de betrokkene. De partijen overwegen met name gebruik te maken van encryptie of pseudonimisering, ook tijdens toezending, waarbij het doel van de verwerking op die manier kan worden verwezenlijkt. </w:t>
      </w:r>
    </w:p>
    <w:p w14:paraId="0000004E"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zijn de in bijlage II bedoelde technische en organisatorische maatregelen overeengekomen. De gegevensimporteur voert regelmatig controles uit om ervoor te zorgen dat deze maatregelen een passend beveiligingsniveau blijven bieden.</w:t>
      </w:r>
    </w:p>
    <w:p w14:paraId="0000004F"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waarborgt dat de tot het verwerken van de persoonsgegevens gemachtigde personen zich ertoe hebben verbonden vertrouwelijkheid in acht te nemen of door een passende wettelijke verplichting van vertrouwelijkheid zijn gebonden.</w:t>
      </w:r>
    </w:p>
    <w:p w14:paraId="00000050"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Bij een inbreuk in verband met persoonsgegevens die betrekking heeft op persoonsgegevens die op grond van deze bepalingen door de gegevensimporteur worden verwerkt, neemt de gegevensimporteur passende maatregelen om de inbreuk in verband met persoonsgegevens aan te pakken, waaronder maatregelen om mogelijke negatieve gevolgen te beperken.</w:t>
      </w:r>
    </w:p>
    <w:p w14:paraId="00000051"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Bij een inbreuk in verband met persoonsgegevens die waarschijnlijk risico’s voor de rechten en vrijheden van natuurlijke personen met zich meebrengt, stelt de gegevensimporteur zowel de gegevensexporteur als de bevoegde toezichthoudende autoriteit krachtens bepaling 13 hiervan onverwijld in kennis. Een dergelijke kennisgeving bevat i) een beschrijving van de aard van de inbreuk (waar mogelijk onder vermelding van de categorieën van betrokkenen en persoonsgegevensregisters in kwestie en, bij benadering, het aantal betrokkenen en persoonsgegevensregisters in kwestie), ii) de waarschijnlijke gevolgen ervan, iii) de maatregelen die zijn voorgesteld of genomen om de inbreuk aan te pakken en iv) de gegevens van een contactpunt bij wie meer informatie kan worden verkregen. Voor zover het voor de gegevensimporteur niet mogelijk is om alle informatie gelijktijdig te verstrekken, mag hij dit zonder onredelijke vertraging in stappen doen. </w:t>
      </w:r>
    </w:p>
    <w:p w14:paraId="00000052"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Bij een inbreuk in verband met persoonsgegevens die waarschijnlijk grote risico’s voor de rechten en vrijheden van natuurlijke personen met zich meebrengt, stelt de gegevensimporteur tevens onverwijld de betrokkenen van de inbreuk in verband met persoonsgegevens en van de aard daarvan in kennis, indien nodig in samenwerking met de gegevensexporteur, samen met de in punt e), ii) tot en met iv), bedoelde informatie, tenzij de gegevensimporteur maatregelen heeft genomen om het risico voor de rechten of vrijheden van natuurlijke personen aanzienlijk te beperken of deze kennisgeving onredelijke inspanningen zou vergen. In het laatste geval doet de gegevensimporteur in plaats daarvan een openbare mededeling of neemt hij een soortgelijke maatregel om het publiek van de inbreuk in verband met persoonsgegevens op de hoogte te brengen. </w:t>
      </w:r>
    </w:p>
    <w:p w14:paraId="00000053"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documenteert alle relevante feiten omtrent de inbreuk in verband met persoonsgegevens, waaronder de effecten daarvan en de genomen corrigerende maatregelen, en houdt daarvan een register bij.</w:t>
      </w:r>
    </w:p>
    <w:p w14:paraId="00000054"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8.6</w:t>
      </w:r>
      <w:r>
        <w:tab/>
      </w:r>
      <w:r>
        <w:rPr>
          <w:rFonts w:ascii="Times New Roman" w:eastAsia="Times New Roman" w:hAnsi="Times New Roman" w:cs="Times New Roman"/>
          <w:b/>
          <w:sz w:val="24"/>
          <w:szCs w:val="24"/>
        </w:rPr>
        <w:t>Gevoelige gegevens</w:t>
      </w:r>
    </w:p>
    <w:p w14:paraId="00000055"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de doorgifte persoonsgegevens betreft waaruit ras of etnische afkomst, politieke opvattingen, religie of levensbeschouwelijke overtuigingen, of het lidmaatschap van een vakbond, genetische gegevens of biometrische gegevens met het oog op de unieke identificatie van een persoon, gegevens over gezondheid, of gegevens met betrekking tot iemands seksueel gedrag of seksuele gerichtheid, of gegevens betreffende strafrechtelijke veroordelingen of strafbare feiten (hierna “gevoelige gegevens” genoemd) blijken, past de gegevensimporteur bepaalde beperkingen en/of extra waarborgen toe die aan de specifieke aard van de gegevens en de bijbehorende risico’s zijn aangepast. Dit kunnen onder andere beperkingen zijn die worden opgelegd aan personeel dat toegang heeft tot de persoonsgegevens, of aanvullende beveiligingsmaatregelen (zoals pseudonimisering) en/of aanvullende beperkingen met betrekking tot verdere verstrekking.</w:t>
      </w:r>
    </w:p>
    <w:p w14:paraId="00000056"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8.7</w:t>
      </w:r>
      <w:r>
        <w:tab/>
      </w:r>
      <w:r>
        <w:rPr>
          <w:rFonts w:ascii="Times New Roman" w:eastAsia="Times New Roman" w:hAnsi="Times New Roman" w:cs="Times New Roman"/>
          <w:b/>
          <w:sz w:val="24"/>
          <w:szCs w:val="24"/>
        </w:rPr>
        <w:t>Verdere doorgiften</w:t>
      </w:r>
    </w:p>
    <w:p w14:paraId="00000057"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verstrekt de persoonsgegevens niet aan een derde partij die is gevestigd buiten de Europese Unie</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(in hetzelfde land als de gegevensimporteur of in een ander derde land; hierna “verdere doorgifte” genoemd), tenzij de derde partij aan deze bepalingen is gebonden of ermee instemt daaraan gebonden te zijn, op grond van de juiste module. Anders mag een verdere doorgifte door de gegevensimporteur alleen plaatsvinden indien: </w:t>
      </w:r>
    </w:p>
    <w:p w14:paraId="00000058"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die naar een land is dat profiteert van een adequaatheidsbesluit overeenkomstig artikel 45 van Verordening (EU) 2016/679 waar de verdere doorgifte onder valt; </w:t>
      </w:r>
    </w:p>
    <w:p w14:paraId="00000059"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derde partij anderszins voor passende waarborgen overeenkomstig artikel 46 of 47 van Verordening (EU) 2016/679 zorgt met betrekking tot de verwerking in kwestie;</w:t>
      </w:r>
    </w:p>
    <w:p w14:paraId="0000005A"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derde partij met de gegevensimporteur een bindend instrument aangaat waarmee hetzelfde gegevensbeschermingsniveau als krachtens deze bepalingen wordt gewaarborgd en de gegevensimporteur een kopie van deze waarborgen aan de gegevensexporteur doet toekomen;</w:t>
      </w:r>
    </w:p>
    <w:p w14:paraId="0000005B"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 noodzakelijk is voor de vaststelling, de uitoefening of de onderbouwing van een rechtsvordering in de context van bepaalde administratieve, regelgevings- of gerechtelijke procedures;</w:t>
      </w:r>
    </w:p>
    <w:p w14:paraId="0000005C"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 noodzakelijk is om de vitale belangen van de betrokkene of van een andere natuurlijke persoon te beschermen; of,</w:t>
      </w:r>
    </w:p>
    <w:p w14:paraId="0000005D"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geen van de andere voorwaarden is vervuld, de gegevensimporteur uitdrukkelijke toestemming heeft verkregen voor een verdere doorgifte in een specifieke situatie van de betrokkene, nadat hij hem/haar in kennis heeft gesteld over het doel ervan, over de identiteit van de ontvanger en over de mogelijke risico’s van een dergelijke doorgifte aan hem/haar als gevolg van het ontbreken van passende waarborgen inzake gegevensbescherming. In dit geval informeert de gegevensimporteur de gegevensexporteur en zendt hij, op verzoek van deze laatste, hem een kopie van de aan de betrokkene verstrekte informatie.</w:t>
      </w:r>
    </w:p>
    <w:p w14:paraId="0000005E" w14:textId="77777777" w:rsidR="00B647DC"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Verdere doorgiften mogen alleen plaatsvinden indien de gegevensimporteur zich aan alle overige waarborgen krachtens deze bepalingen houdt, met name doelbinding.</w:t>
      </w:r>
    </w:p>
    <w:p w14:paraId="0000005F" w14:textId="77777777" w:rsidR="00B647DC"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8.8</w:t>
      </w:r>
      <w:r>
        <w:tab/>
      </w:r>
      <w:r>
        <w:rPr>
          <w:rFonts w:ascii="Times New Roman" w:eastAsia="Times New Roman" w:hAnsi="Times New Roman" w:cs="Times New Roman"/>
          <w:b/>
          <w:sz w:val="24"/>
          <w:szCs w:val="24"/>
        </w:rPr>
        <w:t>Verwerking onder gezag van de gegevensimporteur</w:t>
      </w:r>
    </w:p>
    <w:p w14:paraId="00000060" w14:textId="77777777" w:rsidR="00B647DC"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ziet erop toe dat eenieder die onder zijn gezag handelt, met inbegrip van verwerkers, de gegevens uitsluitend volgens zijn opdracht verwerkt. </w:t>
      </w:r>
    </w:p>
    <w:p w14:paraId="00000061" w14:textId="77777777" w:rsidR="00B647DC"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8.9</w:t>
      </w:r>
      <w:r>
        <w:tab/>
      </w:r>
      <w:r>
        <w:rPr>
          <w:rFonts w:ascii="Times New Roman" w:eastAsia="Times New Roman" w:hAnsi="Times New Roman" w:cs="Times New Roman"/>
          <w:b/>
          <w:sz w:val="24"/>
          <w:szCs w:val="24"/>
        </w:rPr>
        <w:t>Documentatie en naleving</w:t>
      </w:r>
    </w:p>
    <w:p w14:paraId="00000062" w14:textId="77777777" w:rsidR="00B647DC"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moet de naleving van zijn verplichtingen op grond van deze bepalingen kunnen aantonen. De gegevensimporteur houdt verwerkingsactiviteiten die onder zijn verantwoordelijkheid hebben plaatsgevonden naar behoren bij.</w:t>
      </w:r>
    </w:p>
    <w:p w14:paraId="00000063" w14:textId="77777777" w:rsidR="00B647DC"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stelt deze documenten op verzoek ter beschikking van de bevoegde toezichthoudende autoriteit.</w:t>
      </w:r>
    </w:p>
    <w:p w14:paraId="0000006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9</w:t>
      </w:r>
    </w:p>
    <w:p w14:paraId="0000006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Gebruik van subverwerkers</w:t>
      </w:r>
    </w:p>
    <w:p w14:paraId="00000066" w14:textId="77777777" w:rsidR="00B647DC" w:rsidRDefault="00000000">
      <w:pP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Niet van toepassing</w:t>
      </w:r>
    </w:p>
    <w:p w14:paraId="0000006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10</w:t>
      </w:r>
    </w:p>
    <w:p w14:paraId="0000006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 rechten van betrokkenen</w:t>
      </w:r>
    </w:p>
    <w:p w14:paraId="00000069" w14:textId="77777777" w:rsidR="00B647DC" w:rsidRDefault="00B647DC">
      <w:pPr>
        <w:spacing w:before="120" w:after="120" w:line="240" w:lineRule="auto"/>
        <w:jc w:val="center"/>
        <w:rPr>
          <w:rFonts w:ascii="Times New Roman" w:eastAsia="Times New Roman" w:hAnsi="Times New Roman" w:cs="Times New Roman"/>
          <w:b/>
          <w:i/>
          <w:sz w:val="24"/>
          <w:szCs w:val="24"/>
        </w:rPr>
      </w:pPr>
    </w:p>
    <w:p w14:paraId="0000006A" w14:textId="77777777" w:rsidR="00B647DC" w:rsidRDefault="00000000">
      <w:pPr>
        <w:numPr>
          <w:ilvl w:val="1"/>
          <w:numId w:val="9"/>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handelt, in voorkomend geval met behulp van de gegevensexporteur, onverwijld en uiterlijk binnen één maand na ontvangst van de vraag of het verzoek, vragen en verzoeken af die hij van een betrokkene ontvangt in verband met de verwerking van zijn/haar persoonsgegevens en met de uitoefening van </w:t>
      </w:r>
      <w:r>
        <w:rPr>
          <w:rFonts w:ascii="Times New Roman" w:eastAsia="Times New Roman" w:hAnsi="Times New Roman" w:cs="Times New Roman"/>
          <w:sz w:val="24"/>
          <w:szCs w:val="24"/>
        </w:rPr>
        <w:lastRenderedPageBreak/>
        <w:t>zijn/haar rechten uit hoofde van deze bepalingen.</w:t>
      </w:r>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 xml:space="preserve"> De gegevensimporteur neemt passende maatregelen om de afhandeling van die vragen en verzoeken en de uitoefening van de rechten van betrokkenen te vergemakkelijken. De informatie die aan de betrokkene wordt verstrekt, is in een begrijpelijke en gemakkelijk toegankelijke vorm en in duidelijke en eenvoudige taal opgesteld.</w:t>
      </w:r>
    </w:p>
    <w:p w14:paraId="0000006B"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 verzoek van de betrokkene zal de gegevensimporteur met name kosteloos:</w:t>
      </w:r>
    </w:p>
    <w:p w14:paraId="0000006C"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betrokkene de bevestiging geven dat zijn/haar persoonsgegevens al dan niet worden verwerkt en, wanneer dat het geval is, een kopie van zijn/haar gegevens en van de in bijlage I opgenomen informatie verstrekken; indien persoonsgegevens verder zijn of zullen worden doorgegeven, informatie verstrekken over ontvangers of categorieën van ontvangers (indien nodig om nuttige informatie te verstrekken) aan wie de persoonsgegevens verder zijn of zullen worden doorgegeven, over het doel van dergelijke verdere doorgiften en over de grond daarvoor overeenkomstig bepaling 8.7; en informatie verstrekken over het recht een klacht in te dienen bij een toezichthoudende autoriteit overeenkomstig bepaling 12, punt c), i); </w:t>
      </w:r>
    </w:p>
    <w:p w14:paraId="0000006D"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onjuiste of onvolledige gegevens van de betrokkene rectificeren; </w:t>
      </w:r>
    </w:p>
    <w:p w14:paraId="0000006E"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persoonsgegevens van de betrokkene wissen als die gegevens worden of zijn verwerkt in strijd met enige van deze bepalingen ter waarborging van rechten ten behoeve van derden, of wanneer de betrokkene de toestemming intrekt waarop de verwerking is gebaseerd. </w:t>
      </w:r>
    </w:p>
    <w:p w14:paraId="0000006F"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Wanneer de gegevensimporteur de persoonsgegevens verwerkt ten behoeve van direct marketing, stopt hij met de verwerking voor dat doeleinde indien de betrokkene er bezwaar tegen maakt. </w:t>
      </w:r>
    </w:p>
    <w:p w14:paraId="00000070"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neemt geen besluit dat uitsluitend op een geautomatiseerde verwerking van de doorgegeven persoonsgegevens berust (hierna “geautomatiseerd besluit” genoemd), waaraan rechtsgevolgen voor de betrokkene zouden zijn verbonden of die hem/haar eveneens verregaand zou treffen, tenzij met uitdrukkelijke toestemming van de betrokkene of als dat is toestaan krachtens de wetgeving van het land van bestemming, mits in dergelijke wetgeving passende maatregelen zijn vastgelegd om de rechten en legitieme belangen van betrokkenen te waarborgen. In dit geval zal de gegevensimporteur, in voorkomend geval in samenwerking met de gegevensexporteur:</w:t>
      </w:r>
    </w:p>
    <w:p w14:paraId="00000071"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betrokkene informeren over het beoogde geautomatiseerde besluit, de verwachte gevolgen en de gedachte erachter; en</w:t>
      </w:r>
    </w:p>
    <w:p w14:paraId="00000072"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passende waarborgen bieden, ten minste door de betrokkene in staat te stellen het besluit te betwisten, zijn/haar standpunt kenbaar te maken en toetsing door een mens te verkrijgen. </w:t>
      </w:r>
    </w:p>
    <w:p w14:paraId="00000073"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verzoeken van een betrokkene buitensporig zijn, met name vanwege het herhaalde karakter ervan, mag de gegevensimporteur ofwel een redelijke vergoeding in rekening brengen met het oog op de administratieve kosten van het inwilligen van het verzoek, ofwel weigeren om op het verzoek in te gaan.</w:t>
      </w:r>
    </w:p>
    <w:p w14:paraId="00000074"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gegevensimporteur mag een verzoek van een betrokkene weigeren als die weigering is toegestaan uit hoofde van de wetgeving van het land van bestemming en in een democratische samenleving noodzakelijk en evenredig is om een van de in artikel 23, lid 1, van Verordening (EU) 2016/679 genoemde doelstellingen te beschermen.</w:t>
      </w:r>
    </w:p>
    <w:p w14:paraId="00000075"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Als de gegevensimporteur voornemens is een verzoek van een betrokkene te weigeren, stelt hij de betrokkene in kennis van de redenen voor die weigering en van de mogelijkheid om een klacht in te dienen bij de bevoegde toezichthoudende autoriteit en/of beroep in rechte in te stellen.</w:t>
      </w:r>
    </w:p>
    <w:p w14:paraId="00000076" w14:textId="77777777" w:rsidR="00B647DC" w:rsidRDefault="00B647DC">
      <w:pPr>
        <w:spacing w:before="240" w:after="120" w:line="240" w:lineRule="auto"/>
        <w:jc w:val="both"/>
        <w:rPr>
          <w:rFonts w:ascii="Times New Roman" w:eastAsia="Times New Roman" w:hAnsi="Times New Roman" w:cs="Times New Roman"/>
          <w:sz w:val="24"/>
          <w:szCs w:val="24"/>
        </w:rPr>
      </w:pPr>
    </w:p>
    <w:p w14:paraId="0000007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11</w:t>
      </w:r>
    </w:p>
    <w:p w14:paraId="0000007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Verhaal</w:t>
      </w:r>
    </w:p>
    <w:p w14:paraId="00000079"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brengt betrokkenen via een individuele mededeling of op zijn website, in een transparant en gemakkelijk toegankelijk formaat, op de hoogte van een contactpunt dat gemachtigd is om klachten af te handelen. Hij handelt klachten die hij van een betrokkene ontvangt onverwijld af. </w:t>
      </w:r>
    </w:p>
    <w:p w14:paraId="0000007A"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dat betrokkenen klachten ook bij een onafhankelijk orgaan voor geschillenbeslechting mogen indienen</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zonder kosten voor de betrokkene. Hij brengt de betrokkenen, op de in punt (a) genoemde wijze, op de hoogte van een dergelijk verhaalmechanisme en laat hen weten dat zij niet verplicht zijn daarvan gebruik te maken, of om een bepaalde volgorde aan te houden om verhaal te halen.</w:t>
      </w:r>
    </w:p>
    <w:p w14:paraId="0000007B" w14:textId="77777777" w:rsidR="00B647DC" w:rsidRDefault="00B647DC">
      <w:pPr>
        <w:spacing w:before="120" w:after="120" w:line="240" w:lineRule="auto"/>
        <w:ind w:left="850" w:hanging="850"/>
        <w:jc w:val="both"/>
        <w:rPr>
          <w:rFonts w:ascii="Times New Roman" w:eastAsia="Times New Roman" w:hAnsi="Times New Roman" w:cs="Times New Roman"/>
          <w:sz w:val="24"/>
          <w:szCs w:val="24"/>
        </w:rPr>
      </w:pPr>
    </w:p>
    <w:p w14:paraId="0000007C" w14:textId="77777777" w:rsidR="00B647DC" w:rsidRDefault="00B647DC">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7D" w14:textId="77777777" w:rsidR="00B647DC" w:rsidRDefault="00000000">
      <w:pPr>
        <w:numPr>
          <w:ilvl w:val="1"/>
          <w:numId w:val="10"/>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Bij een geschil tussen een betrokkene en een van de partijen met betrekking tot de naleving van deze bepalingen, doet die partij al het mogelijke om de kwestie tijdig in der minne te schikken. De partijen houden elkaar op de hoogte van dergelijke geschillen en werken, in voorkomend geval, samen om ze te beslechten.   </w:t>
      </w:r>
    </w:p>
    <w:p w14:paraId="0000007E"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Wanneer de betrokkene zich overeenkomstig bepaling 3 op een recht ten behoeve van derden beroept, aanvaardt de gegevensimporteur het besluit van de betrokkene om: </w:t>
      </w:r>
    </w:p>
    <w:p w14:paraId="0000007F" w14:textId="77777777" w:rsidR="00B647DC" w:rsidRDefault="00000000">
      <w:pPr>
        <w:numPr>
          <w:ilvl w:val="3"/>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een klacht in te dienen bij de toezichthoudende autoriteit in de lidstaat waar hij/zij gewoonlijk verblijft of werkt, of de bevoegde toezichthoudende autoriteit krachtens bepaling 13;</w:t>
      </w:r>
    </w:p>
    <w:p w14:paraId="00000080" w14:textId="77777777" w:rsidR="00B647DC" w:rsidRDefault="00000000">
      <w:pPr>
        <w:numPr>
          <w:ilvl w:val="3"/>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geschil voor te leggen aan de bevoegde gerechten in de zin van bepaling 18.</w:t>
      </w:r>
    </w:p>
    <w:p w14:paraId="00000081"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partijen aanvaarden dat de betrokkene vertegenwoordigd kan worden door een orgaan, organisatie of vereniging zonder winstoogmerk onder de in artikel 80, lid 1, van Verordening (EU) 2016/679 vermelde voorwaarden. </w:t>
      </w:r>
    </w:p>
    <w:p w14:paraId="00000082"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gegevensimporteur schikt zich naar een besluit dat uit hoofde van het toepasselijke recht van de Europese Unie/de lidstaat bindend is.</w:t>
      </w:r>
    </w:p>
    <w:p w14:paraId="00000083"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dat de keuze van de betrokkene geen afbreuk doet aan zijn/haar materiële en formele rechten om overeenkomstig de geldende wetgeving verhaal te zoeken.</w:t>
      </w:r>
    </w:p>
    <w:p w14:paraId="0000008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12</w:t>
      </w:r>
    </w:p>
    <w:p w14:paraId="0000008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Aansprakelijkheid</w:t>
      </w:r>
    </w:p>
    <w:p w14:paraId="00000086" w14:textId="77777777" w:rsidR="00B647DC" w:rsidRDefault="00B647DC">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87" w14:textId="77777777" w:rsidR="00B647DC" w:rsidRDefault="00000000">
      <w:pPr>
        <w:numPr>
          <w:ilvl w:val="1"/>
          <w:numId w:val="11"/>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Elke partij is ten aanzien van de andere partij(en) aansprakelijk voor schade die hij de andere partij(en) berokkent door inbreuken op deze bepalingen. </w:t>
      </w:r>
    </w:p>
    <w:p w14:paraId="00000088"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is ten aanzien van de betrokkene aansprakelijk, en de betrokkene heeft het recht een vergoeding te verkrijgen, voor materiële of immateriële schade die de partij aan de betrokkene berokkent door de rechten ten behoeve van derden uit hoofde van deze bepalingen te schenden. Dit doet geen afbreuk aan de aansprakelijkheid van de gegevensexporteur op grond van Verordening (EU) 2016/679.</w:t>
      </w:r>
    </w:p>
    <w:p w14:paraId="00000089"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meerdere partijen verantwoordelijk zijn voor schade die als gevolg van schendingen van deze bepalingen aan de betrokkene is berokkend, zijn alle verantwoordelijke partijen hoofdelijk aansprakelijk en heeft de betrokkene het recht om voor de rechter een procedure tegen deze partijen in te stellen.</w:t>
      </w:r>
    </w:p>
    <w:p w14:paraId="0000008A"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dat als een van de partijen op grond van punt c) aansprakelijk wordt gesteld, deze partij het recht heeft om op de andere partij(en) het deel van de schadevergoeding te verhalen dat overeenkomt met zijn/hun deel van de aansprakelijkheid voor de schade.</w:t>
      </w:r>
    </w:p>
    <w:p w14:paraId="0000008B"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mag zich niet op het gedrag van een verwerker of subverwerker beroepen om zich aan zijn eigen aansprakelijkheid te onttrekken.</w:t>
      </w:r>
    </w:p>
    <w:p w14:paraId="0000008C" w14:textId="77777777" w:rsidR="00B647DC" w:rsidRDefault="00B647DC">
      <w:pPr>
        <w:numPr>
          <w:ilvl w:val="1"/>
          <w:numId w:val="11"/>
        </w:numPr>
        <w:spacing w:before="120" w:after="120" w:line="240" w:lineRule="auto"/>
        <w:jc w:val="both"/>
        <w:rPr>
          <w:rFonts w:ascii="Times New Roman" w:eastAsia="Times New Roman" w:hAnsi="Times New Roman" w:cs="Times New Roman"/>
          <w:sz w:val="24"/>
          <w:szCs w:val="24"/>
        </w:rPr>
      </w:pPr>
    </w:p>
    <w:p w14:paraId="0000008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13</w:t>
      </w:r>
    </w:p>
    <w:p w14:paraId="0000008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Toezicht</w:t>
      </w:r>
    </w:p>
    <w:p w14:paraId="0000008F" w14:textId="77777777" w:rsidR="00B647DC"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toezichthoudende autoriteit die erop toeziet dat de gegevensexporteur Verordening (EU) 2016/679 naleeft met betrekking tot de gegevensdoorgifte, zoals aangegeven in bijlage I.C, treedt op als de bevoegde toezichthoudende autoriteit.</w:t>
      </w:r>
    </w:p>
    <w:p w14:paraId="00000090"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91" w14:textId="77777777" w:rsidR="00B647DC"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zich te onderwerpen aan de jurisdictie van en samen te werken met de bevoegde toezichthoudende autoriteit in procedures gericht op het waarborgen van de naleving van deze bepalingen. De gegevensimporteur stemt er in het bijzonder mee in vragen te beantwoorden, zich aan audits te onderwerpen en zich aan de door de toezichthoudende autoriteit vastgestelde maatregelen te houden, waaronder corrigerende en compenserende maatregelen. Hij geeft de toezichthoudende autoriteit schriftelijke bevestiging dat de noodzakelijke maatregelen zijn genomen.</w:t>
      </w:r>
    </w:p>
    <w:p w14:paraId="00000092" w14:textId="77777777" w:rsidR="00B647DC" w:rsidRDefault="00B647DC">
      <w:pPr>
        <w:spacing w:before="120" w:after="120" w:line="240" w:lineRule="auto"/>
        <w:jc w:val="center"/>
        <w:rPr>
          <w:rFonts w:ascii="Times New Roman" w:eastAsia="Times New Roman" w:hAnsi="Times New Roman" w:cs="Times New Roman"/>
          <w:b/>
          <w:sz w:val="24"/>
          <w:szCs w:val="24"/>
          <w:u w:val="single"/>
        </w:rPr>
      </w:pPr>
    </w:p>
    <w:p w14:paraId="00000093" w14:textId="77777777" w:rsidR="00B647DC" w:rsidRDefault="00B647DC">
      <w:pPr>
        <w:spacing w:before="120" w:after="120" w:line="240" w:lineRule="auto"/>
        <w:jc w:val="center"/>
        <w:rPr>
          <w:rFonts w:ascii="Times New Roman" w:eastAsia="Times New Roman" w:hAnsi="Times New Roman" w:cs="Times New Roman"/>
          <w:b/>
          <w:sz w:val="24"/>
          <w:szCs w:val="24"/>
          <w:u w:val="single"/>
        </w:rPr>
      </w:pPr>
    </w:p>
    <w:p w14:paraId="00000094"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III – LOKALE WETTEN EN VERPLICHTINGEN IN GEVAL VAN TOEGANG DOOR OVERHEIDSINSTANTIES</w:t>
      </w:r>
    </w:p>
    <w:p w14:paraId="00000095"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14</w:t>
      </w:r>
    </w:p>
    <w:p w14:paraId="00000096"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Lokale wetten en praktijken met gevolgen voor de naleving van de bepalingen</w:t>
      </w:r>
    </w:p>
    <w:p w14:paraId="00000097"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98" w14:textId="77777777" w:rsidR="00B647DC" w:rsidRDefault="00000000">
      <w:pPr>
        <w:numPr>
          <w:ilvl w:val="1"/>
          <w:numId w:val="6"/>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garanderen dat zij geen reden hebben om aan te nemen dat de wetten en praktijken in het derde land van bestemming die van toepassing zijn op de verwerking van de persoonsgegevens door de gegevensimporteur, met inbegrip van vereisten om persoonsgegevens te verstrekken of maatregelen die toegang door overheidsinstanties toestaan, de gegevensimporteur verhinderen zijn verplichtingen uit hoofde van deze bepalingen na te komen. Hierbij wordt ervan uitgegaan dat wetten en praktijken waarmee de wezenlijke inhoud van de grondrechten en fundamentele vrijheden wordt geëerbiedigd en die niet verder gaan dan hetgeen in een democratische samenleving noodzakelijk en evenredig is om een van de in artikel 23, lid 1, van Verordening (EU) 2016/679 genoemde doelstellingen te waarborgen, niet in tegenspraak zijn met deze bepalingen.</w:t>
      </w:r>
    </w:p>
    <w:p w14:paraId="00000099"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verklaren dat zij bij het bieden van de in punt a) bedoelde garantie met name de volgende elementen naar behoren in aanmerking hebben genomen:</w:t>
      </w:r>
    </w:p>
    <w:p w14:paraId="0000009A"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specifieke omstandigheden van de doorgifte, waaronder de lengte van de verwerkingsketen, het aantal betrokken actoren en de kanalen die voor de toezending zijn gebruikt; voorgenomen verdere doorgiften; het soort ontvanger; het doel van de verwerking; de categorieën en het formaat van de doorgegeven persoonsgegevens; de economische sector waarin de doorgifte plaatsvindt; de opslagplaats van de doorgegeven gegevens; </w:t>
      </w:r>
    </w:p>
    <w:p w14:paraId="0000009B"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wetten en praktijken van het derde land van bestemming — waaronder de wetten en praktijken die vereisen om gegevens aan overheidsinstanties te verstrekken of toegang door dergelijke instanties toestaan — die van belang zijn in het licht van de specifieke omstandigheden van de doorgifte, en de toepasselijke beperkingen en waarborgen</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xml:space="preserve">; </w:t>
      </w:r>
    </w:p>
    <w:p w14:paraId="0000009C"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alle relevante contractuele, technische of organisatorische waarborgen die zijn ingesteld in aanvulling op de waarborgen uit hoofde van deze bepalingen, waaronder maatregelen die worden toegepast tijdens de toezending en op de verwerking van de persoonsgegevens in het land van bestemming.</w:t>
      </w:r>
    </w:p>
    <w:p w14:paraId="0000009D"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garandeert dat hij bij het uitvoeren van de beoordeling op grond van punt b) al het mogelijke heeft gedaan om de gegevensexporteur van relevante informatie te voorzien en stemt ermee in dat hij met de gegevensexporteur zal blijven samenwerken om naleving van deze bepalingen te waarborgen.</w:t>
      </w:r>
    </w:p>
    <w:p w14:paraId="0000009E"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om de beoordeling uit hoofde van punt b) te documenteren en op verzoek ter beschikking te stellen van de bevoegde toezichthoudende autoriteit.</w:t>
      </w:r>
    </w:p>
    <w:p w14:paraId="0000009F"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de gegevensexporteur onverwijld in kennis te stellen indien hij, na deze bepalingen te zijn overeengekomen en voor de duur van de overeenkomst, redenen heeft om aan te nemen dat hij onder wetten of praktijken valt of is komen te vallen die niet overeenstemmen met de vereisten uit hoofde van punt a), onder meer ingevolge een wijziging van de wetten in het derde land of een maatregel (zoals een verzoek om verstrekking) die duidt op een toepassing van die wetten in de praktijk die niet overeenstemt met de vereisten in punt a). [Voor module drie: De gegevensexporteur zendt de kennisgeving door aan de verwerkingsverantwoordelijke.]</w:t>
      </w:r>
    </w:p>
    <w:p w14:paraId="000000A0"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Ingevolge een kennisgeving overeenkomstig punt e), of als de gegevensexporteur anderszins redenen heeft om aan te nemen dat de gegevensimporteur zijn verplichtingen uit hoofde van deze bepalingen niet langer kan nakomen, stelt de gegevensexporteur onverwijld passende maatregelen (bv. technische of organisatorische maatregelen om betrouwbaarheid en vertrouwelijkheid te waarborgen) vast die de gegevensexporteur en/of de gegevensimporteur moeten uitvoeren om de situatie aan te pakken, [voor module drie: , in voorkomend geval in overleg met de verwerkingsverantwoordelijke]. De gegevensexporteur schort de gegevensdoorgifte op als hij van mening is dat er geen passende waarborgen voor die doorgifte kunnen worden gegarandeerd, of op basis van instructies van [voor module drie: de verwerkingsverantwoordelijke of] de bevoegde toezichthoudende autoriteit hiertoe. In dit geval heeft de gegevensexporteur het recht om de overeenkomst te beëindigen, voor zover die betrekking heeft op de verwerking van persoonsgegevens uit hoofde van deze bepalingen. Indien er meer dan twee partijen bij de overeenkomst zijn betrokken, mag de gegevensexporteur zijn recht om de overeenkomst te beëindigen alleen uitoefenen met betrekking tot de betrokken partij, tenzij anderszins door de partijen is overeengekomen. Indien de overeenkomst overeenkomstig deze bepaling wordt beëindigd, is bepaling 16, punten d) en e), van toepassing. </w:t>
      </w:r>
      <w:r>
        <w:rPr>
          <w:rFonts w:ascii="Times New Roman" w:eastAsia="Times New Roman" w:hAnsi="Times New Roman" w:cs="Times New Roman"/>
          <w:color w:val="444444"/>
          <w:sz w:val="27"/>
          <w:szCs w:val="27"/>
          <w:highlight w:val="white"/>
        </w:rPr>
        <w:t xml:space="preserve"> </w:t>
      </w:r>
    </w:p>
    <w:p w14:paraId="000000A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15</w:t>
      </w:r>
    </w:p>
    <w:p w14:paraId="000000A2"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Verplichtingen van de gegevensimporteur in geval van toegang door overheidsinstanties</w:t>
      </w:r>
    </w:p>
    <w:p w14:paraId="000000A3"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A4" w14:textId="77777777" w:rsidR="00B647DC"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15.1</w:t>
      </w:r>
      <w:r>
        <w:tab/>
      </w:r>
      <w:r>
        <w:rPr>
          <w:rFonts w:ascii="Times New Roman" w:eastAsia="Times New Roman" w:hAnsi="Times New Roman" w:cs="Times New Roman"/>
          <w:b/>
          <w:sz w:val="24"/>
          <w:szCs w:val="24"/>
        </w:rPr>
        <w:t>Kennisgeving</w:t>
      </w:r>
    </w:p>
    <w:p w14:paraId="000000A5"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De gegevensimporteur stemt er mee in de gegevensexporteur en, voor zover mogelijk, de betrokkene onverwijld in kennis te stellen (indien nodig met behulp van de gegevensexporteur) indien hij: </w:t>
      </w:r>
    </w:p>
    <w:p w14:paraId="000000A6" w14:textId="77777777" w:rsidR="00B647DC" w:rsidRDefault="00000000">
      <w:pPr>
        <w:numPr>
          <w:ilvl w:val="3"/>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van een overheidsinstantie, met inbegrip van rechterlijke instanties, een juridisch bindend verzoek om verstrekking van overeenkomstig deze bepalingen doorgegeven persoonsgegevens ontvangt krachtens het recht van het land van bestemming; een dergelijke kennisgeving omvat informatie over de gevraagde persoonsgegevens, de verzoekende autoriteit, de rechtsgrondslag voor het verzoek en het gegeven antwoord; of</w:t>
      </w:r>
    </w:p>
    <w:p w14:paraId="000000A7" w14:textId="77777777" w:rsidR="00B647DC" w:rsidRDefault="00000000">
      <w:pPr>
        <w:numPr>
          <w:ilvl w:val="3"/>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kennis heeft genomen van rechtstreekse toegang door overheidsinstanties tot de krachtens deze bepalingen doorgegeven persoonsgegevens in overeenstemming met de wetgeving van het land van bestemming; een dergelijke kennisgeving omvat alle informatie waarover de gegevensimporteur beschikt.</w:t>
      </w:r>
    </w:p>
    <w:p w14:paraId="000000A8"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het de gegevensimporteur uit hoofde van de wetgeving van het land van bestemming verboden is om de gegevensexporteur en/of de betrokkene in kennis te stellen, stemt de gegevensimporteur ermee in al het mogelijke te doen om van het verbod te worden ontheven, teneinde zo spoedig mogelijk zo veel mogelijk informatie mee te delen. De gegevensimporteur stemt ermee in deze inspanningen te documenteren om ze op verzoek van de gegevensexporteur te kunnen aantonen. </w:t>
      </w:r>
    </w:p>
    <w:p w14:paraId="000000A9"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toegestaan uit hoofde van de wetgeving van het land van bestemming, stemt de gegevensimporteur ermee in de gegevensexporteur, met regelmatige tussenpozen gedurende de duur van de overeenkomst, met zo veel mogelijk relevante informatie over de ontvangen verzoeken (met name het aantal verzoeken, het soort gevraagde gegevens, de verzoekende autoriteit(en), of er verzoeken zijn betwist en wat de uitkomst daarvan was enz.) te doen toekomen. [Voor module drie: De gegevensexporteur zendt de informatie door aan de verwerkingsverantwoordelijke.]</w:t>
      </w:r>
    </w:p>
    <w:p w14:paraId="000000AA"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de informatie overeenkomstig de punten a) tot en met c) te bewaren voor de duur van de overeenkomst en die op verzoek ter beschikking van de bevoegde toezichthoudende autoriteit te stellen. </w:t>
      </w:r>
    </w:p>
    <w:p w14:paraId="000000AB"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punten a) tot en met c) doen geen afbreuk aan de verplichting van de gegevensimporteur overeenkomstig bepaling 14, punt e), en bepaling 16 om de gegevensexporteur onverwijld in kennis te stellen wanneer hij niet in staat is deze bepalingen na te leven.</w:t>
      </w:r>
    </w:p>
    <w:p w14:paraId="000000AC"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15.2</w:t>
      </w:r>
      <w:r>
        <w:tab/>
      </w:r>
      <w:r>
        <w:rPr>
          <w:rFonts w:ascii="Times New Roman" w:eastAsia="Times New Roman" w:hAnsi="Times New Roman" w:cs="Times New Roman"/>
          <w:b/>
          <w:sz w:val="24"/>
          <w:szCs w:val="24"/>
        </w:rPr>
        <w:t>Wettigheidstoetsing en gegevensminimalisering</w:t>
      </w:r>
    </w:p>
    <w:p w14:paraId="000000AD"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de wettigheid van het verzoek om verstrekking te toetsen, met name of die binnen de aan de verzoekende overheidsinstantie toegekende bevoegdheden blijft, en het verzoek te betwisten indien hij na een zorgvuldige beoordeling tot de conclusie komt dat er redelijke gronden zijn om aan te nemen dat het verzoek onwettig is krachtens de wetgeving van het land van bestemming, toepasselijke verplichtingen uit hoofde van het internationaal recht en beginselen van internationale courtoisie. Onder deze omstandigheden benut de gegevensimporteur de beroepsmogelijkheden. Bij het betwisten van een verzoek neemt de gegevensimporteur voorlopige maatregelen om de effecten van het verzoek op te schorten totdat de bevoegde rechterlijke instantie over de gegrondheid ervan heeft beslist. Hij verstrekt de gevraagde persoonsgegevens pas wanneer hij dat volgens </w:t>
      </w:r>
      <w:r>
        <w:rPr>
          <w:rFonts w:ascii="Times New Roman" w:eastAsia="Times New Roman" w:hAnsi="Times New Roman" w:cs="Times New Roman"/>
          <w:sz w:val="24"/>
          <w:szCs w:val="24"/>
        </w:rPr>
        <w:lastRenderedPageBreak/>
        <w:t>de toepasselijke procedurevoorschriften moet doen. Deze vereisten doen geen afbreuk aan de verplichtingen van de gegevensimporteur krachtens bepaling 14, punt e).</w:t>
      </w:r>
    </w:p>
    <w:p w14:paraId="000000AE"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zijn juridische beoordeling en eventuele betwistingen van het verzoek om verstrekking te documenteren en, voor zover dit is toegestaan krachtens de wetgeving van het land van bestemming, de documentatie ter beschikking te stellen van de gegevensexporteur. Hij stelt deze documenten op verzoek ook ter beschikking van de bevoegde toezichthoudende autoriteit. [Voor module drie: De gegevensexporteur stelt de beoordeling ter beschikking van de verwerkingsverantwoordelijke.] </w:t>
      </w:r>
    </w:p>
    <w:p w14:paraId="000000AF"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de toegestane minimale hoeveelheid informatie te verstrekken bij het beantwoorden van een verzoek om verstrekking, op basis van een redelijke interpretatie van het verzoek.</w:t>
      </w:r>
    </w:p>
    <w:p w14:paraId="000000B0" w14:textId="77777777" w:rsidR="00B647DC" w:rsidRDefault="00B647DC">
      <w:pPr>
        <w:spacing w:before="120" w:after="120" w:line="240" w:lineRule="auto"/>
        <w:ind w:left="850"/>
        <w:jc w:val="both"/>
        <w:rPr>
          <w:rFonts w:ascii="Times New Roman" w:eastAsia="Times New Roman" w:hAnsi="Times New Roman" w:cs="Times New Roman"/>
          <w:sz w:val="24"/>
          <w:szCs w:val="24"/>
        </w:rPr>
      </w:pPr>
    </w:p>
    <w:p w14:paraId="000000B1"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IV — SLOTBEPALINGEN</w:t>
      </w:r>
    </w:p>
    <w:p w14:paraId="000000B2"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16</w:t>
      </w:r>
    </w:p>
    <w:p w14:paraId="000000B3"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Niet-naleving van de bepalingen en beëindiging</w:t>
      </w:r>
    </w:p>
    <w:p w14:paraId="000000B4"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stelt de gegevensexporteur onverwijld in kennis indien hij om wat voor reden dan ook niet in staat is deze bepalingen na te leven. </w:t>
      </w:r>
    </w:p>
    <w:p w14:paraId="000000B5"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de gegevensimporteur inbreuk maakt op deze bepalingen of niet in staat is deze bepalingen na te leven, schort de gegevensexporteur de doorgifte van persoonsgegevens aan de gegevensimporteur op totdat de naleving weer wordt gewaarborgd of totdat de overeenkomst wordt beëindigd. Dit doet geen afbreuk aan bepaling 14, punt f).</w:t>
      </w:r>
    </w:p>
    <w:p w14:paraId="000000B6"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gegevensexporteur heeft het recht de overeenkomst te beëindigen, voor zover die betrekking heeft op de verwerking van persoonsgegevens uit hoofde van deze bepalingen, wanneer:</w:t>
      </w:r>
    </w:p>
    <w:p w14:paraId="000000B7"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gegevensexporteur de doorgifte van persoonsgegevens naar de gegevensimporteur overeenkomstig punt b) heeft opgeschort en de bepalingen niet binnen een redelijke termijn en in elk geval binnen één maand na de opschorting weer worden nageleefd; </w:t>
      </w:r>
    </w:p>
    <w:p w14:paraId="000000B8"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in belangrijke en voortdurende mate inbreuk maakt op deze bepalingen; of</w:t>
      </w:r>
    </w:p>
    <w:p w14:paraId="000000B9"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zich niet aan een bindend besluit van een bevoegd gerecht of een bevoegde autoriteit met betrekking tot zijn verplichtingen uit hoofde van deze bepalingen houdt.</w:t>
      </w:r>
    </w:p>
    <w:p w14:paraId="000000BA"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deze gevallen stelt hij de bevoegde toezichthoudende autoriteit [voor module drie: en de verwerkingsverantwoordelijke] in kennis van die niet-naleving. Wanneer meer dan twee partijen bij de overeenkomst zijn betrokken, mag de gegevensexporteur zijn recht om de overeenkomst te beëindigen alleen uitoefenen met betrekking tot de betrokken partij, tenzij anderszins door de partijen is overeengekomen. </w:t>
      </w:r>
    </w:p>
    <w:p w14:paraId="000000BB"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[Voor de modulen een, twee en drie: Persoonsgegevens die voorafgaand aan de beëindiging van de overeenkomst zijn doorgegeven overeenkomstig punt c) worden, </w:t>
      </w:r>
      <w:r>
        <w:rPr>
          <w:rFonts w:ascii="Times New Roman" w:eastAsia="Times New Roman" w:hAnsi="Times New Roman" w:cs="Times New Roman"/>
          <w:sz w:val="24"/>
          <w:szCs w:val="24"/>
        </w:rPr>
        <w:lastRenderedPageBreak/>
        <w:t xml:space="preserve">naargelang de wens van de gegevensexporteur, onmiddellijk volledig aan de gegevensexporteur terugbezorgd of gewist. Hetzelfde geldt voor eventuele kopieën van de gegevens.] [Voor module vier: Door de gegevensexporteur in de Europese Unie verzamelde persoonsgegevens die voordat de overeenkomst werd beëindigd waren doorgegeven overeenkomstig punt c) worden onmiddellijk volledig gewist, met inbegrip van eventuele kopieën daarvan.] De gegevensimporteur verzekert de gegevensexporteur ervan dat de gegevens zijn gewist. Totdat de gegevens zijn gewist of teruggezonden, blijft de gegevensimporteur ervoor zorgen dat aan deze bepalingen wordt voldaan. In geval van lokaal recht dat op de gegevensimporteur van toepassing is en op basis waarvan teruggave of wissing van de doorgegeven persoonsgegevens verboden is, garandeert de gegevensimporteur dat hij deze bepalingen zal blijven naleven en de gegevens alleen zal verwerken voor zover en zolang dat naar dat lokaal recht is vereist. </w:t>
      </w:r>
    </w:p>
    <w:p w14:paraId="000000BC"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Elk van de partijen kan haar toestemming om aan deze bepalingen gebonden te zijn, intrekken wanneer (i) de Europese Commissie een besluit overeenkomstig artikel 45, lid 3, van Verordening (EU) 2016/679 neemt dat betrekking heeft op de doorgifte van persoonsgegevens waarop deze bepalingen van toepassing zijn; of (ii) Verordening (EU) 2016/679 onderdeel wordt van het rechtskader van het land waarnaar de persoonsgegevens worden doorgegeven. Dit doet geen afbreuk aan andere verplichtingen die van toepassing zijn op de desbetreffende verwerking op grond van Verordening (EU) 2016/679. </w:t>
      </w:r>
    </w:p>
    <w:p w14:paraId="000000B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17</w:t>
      </w:r>
    </w:p>
    <w:p w14:paraId="000000B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Toepasselijk recht</w:t>
      </w:r>
    </w:p>
    <w:p w14:paraId="000000BF"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worden geregeld door het recht van een van de EU-lidstaten, mits dat recht voorziet in rechten ten behoeve van derden. De partijen komen overeen dat dit het recht van België is. </w:t>
      </w:r>
    </w:p>
    <w:p w14:paraId="000000C0"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18</w:t>
      </w:r>
    </w:p>
    <w:p w14:paraId="000000C1"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Forum- en jurisdictiekeuze</w:t>
      </w:r>
    </w:p>
    <w:p w14:paraId="000000C2" w14:textId="77777777" w:rsidR="00B647DC"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Uit deze bepalingen voortvloeiende geschillen worden beslecht door de gerechten van een EU-lidstaat.</w:t>
      </w:r>
    </w:p>
    <w:p w14:paraId="000000C3"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dat dit de gerechten van België zijn.</w:t>
      </w:r>
    </w:p>
    <w:p w14:paraId="000000C4"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Een betrokkene kan ook gerechtelijke procedures aanhangig maken tegen de gegevensexporteur en/of de gegevensimporteur bij de gerechten van de lidstaat waar hij/zij gewoonlijk verblijft. </w:t>
      </w:r>
    </w:p>
    <w:p w14:paraId="000000C5"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zich aan de jurisdictie van die gerechten te onderwerpen.</w:t>
      </w:r>
    </w:p>
    <w:p w14:paraId="000000C6" w14:textId="77777777" w:rsidR="00B647DC" w:rsidRDefault="00B647DC">
      <w:pPr>
        <w:rPr>
          <w:rFonts w:ascii="Times New Roman" w:eastAsia="Times New Roman" w:hAnsi="Times New Roman" w:cs="Times New Roman"/>
          <w:b/>
          <w:sz w:val="24"/>
          <w:szCs w:val="24"/>
          <w:highlight w:val="lightGray"/>
        </w:rPr>
      </w:pPr>
    </w:p>
    <w:p w14:paraId="000000C7" w14:textId="77777777" w:rsidR="00B647DC" w:rsidRDefault="00000000">
      <w:pPr>
        <w:jc w:val="both"/>
        <w:rPr>
          <w:rFonts w:ascii="Times New Roman" w:eastAsia="Times New Roman" w:hAnsi="Times New Roman" w:cs="Times New Roman"/>
          <w:sz w:val="24"/>
          <w:szCs w:val="24"/>
        </w:rPr>
      </w:pPr>
      <w:r>
        <w:br w:type="page"/>
      </w:r>
    </w:p>
    <w:p w14:paraId="000000C8"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 xml:space="preserve">AANHANGSEL </w:t>
      </w:r>
    </w:p>
    <w:p w14:paraId="000000C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TOELICHTING: </w:t>
      </w:r>
    </w:p>
    <w:p w14:paraId="000000CA" w14:textId="77777777" w:rsidR="00B647DC"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Het moet mogelijk zijn om de informatie die van toepassing is op elke doorgifte of categorie van doorgiften duidelijk te onderscheiden en, in dit verband, om de respectieve rol(len) van de partijen als gegevensexporteur(s) en/of gegevensimporteurs(s) te bepalen. Hiertoe is het niet noodzakelijkerwijs nodig om voor elke doorgifte/categorie van doorgiften en/of contractuele relatie afzonderlijke aanhangsels in te vullen en te ondertekenen wanneer deze transparantie ook met één aanhangsel kan worden gewaarborgd. Indien noodzakelijk om voldoende helderheid te verschaffen, dienen er echter wel afzonderlijke aanhangsels te worden gebruikt.</w:t>
      </w:r>
    </w:p>
    <w:p w14:paraId="000000CB" w14:textId="77777777" w:rsidR="00B647DC" w:rsidRDefault="00000000">
      <w:pPr>
        <w:spacing w:before="24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BIJLAGE I</w:t>
      </w:r>
    </w:p>
    <w:p w14:paraId="000000CC" w14:textId="77777777" w:rsidR="00B647DC" w:rsidRDefault="00000000">
      <w:pPr>
        <w:spacing w:before="240" w:after="120" w:line="240" w:lineRule="auto"/>
        <w:ind w:left="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 LIJST VAN PARTIJEN</w:t>
      </w:r>
    </w:p>
    <w:p w14:paraId="000000CD"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CE" w14:textId="77777777" w:rsidR="00B647DC"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Gegevensexporteur: </w:t>
      </w:r>
    </w:p>
    <w:p w14:paraId="000000CF"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Naam: Agentschap Wegen en Verkeer</w:t>
      </w:r>
    </w:p>
    <w:p w14:paraId="000000D0" w14:textId="36D91294"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Adres: </w:t>
      </w:r>
      <w:r w:rsidR="00291CEC" w:rsidRPr="00415A4E">
        <w:rPr>
          <w:rFonts w:ascii="Times New Roman" w:eastAsia="Times New Roman" w:hAnsi="Times New Roman" w:cs="Times New Roman"/>
          <w:sz w:val="24"/>
          <w:szCs w:val="24"/>
          <w:highlight w:val="yellow"/>
        </w:rPr>
        <w:t>[Adres]</w:t>
      </w:r>
    </w:p>
    <w:p w14:paraId="000000D1" w14:textId="6BE86A3C"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Naam, functie en contactgegevens van de contactpersoon: </w:t>
      </w:r>
      <w:r w:rsidR="00291CEC" w:rsidRPr="00415A4E">
        <w:rPr>
          <w:rFonts w:ascii="Times New Roman" w:eastAsia="Times New Roman" w:hAnsi="Times New Roman" w:cs="Times New Roman"/>
          <w:sz w:val="24"/>
          <w:szCs w:val="24"/>
          <w:highlight w:val="yellow"/>
        </w:rPr>
        <w:t>[Voornaam Naam]</w:t>
      </w:r>
      <w:r>
        <w:rPr>
          <w:rFonts w:ascii="Times New Roman" w:eastAsia="Times New Roman" w:hAnsi="Times New Roman" w:cs="Times New Roman"/>
          <w:sz w:val="24"/>
          <w:szCs w:val="24"/>
        </w:rPr>
        <w:t xml:space="preserve">, Functionaris Gegevensbescherming, </w:t>
      </w:r>
      <w:r w:rsidR="00291CEC" w:rsidRPr="00415A4E">
        <w:rPr>
          <w:rFonts w:ascii="Times New Roman" w:eastAsia="Times New Roman" w:hAnsi="Times New Roman" w:cs="Times New Roman"/>
          <w:sz w:val="24"/>
          <w:szCs w:val="24"/>
          <w:highlight w:val="yellow"/>
        </w:rPr>
        <w:t>[DPO mail adres]</w:t>
      </w:r>
    </w:p>
    <w:p w14:paraId="000000D2"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Activiteiten in verband met de overeenkomstig deze bepalingen doorgegeven gegevens:</w:t>
      </w:r>
    </w:p>
    <w:p w14:paraId="000000D3" w14:textId="77777777" w:rsidR="00B647DC" w:rsidRDefault="00000000">
      <w:pPr>
        <w:numPr>
          <w:ilvl w:val="0"/>
          <w:numId w:val="20"/>
        </w:num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AWV is het agentschap dat is opgericht voor de uitvoering van het beleid inzake wegeninfrastructuur en elektromechanische uitrustingen in Vlaanderen. Het AWV beheert ca. 7.000 km gewest- en autosnelwegen en ruim 7.700 km fietspaden. Het AWV verantwoordelijk voor het onderhoud en de exploitatie van deze infrastructuur, evenals voor het operationele beheer van het verkeer en het vervoer over die wegen.</w:t>
      </w:r>
      <w:r>
        <w:rPr>
          <w:rFonts w:ascii="Times New Roman" w:eastAsia="Times New Roman" w:hAnsi="Times New Roman" w:cs="Times New Roman"/>
          <w:sz w:val="24"/>
          <w:szCs w:val="24"/>
        </w:rPr>
        <w:br/>
        <w:t>Het AWV heeft tevens als opdracht gekregen het “Mobilidata” platform technisch te exploiteren</w:t>
      </w:r>
    </w:p>
    <w:p w14:paraId="000000D4"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Mobilidata is een programma van de Vlaamse overheid waarin overheden, bedrijven en onderzoekers samenwerken om innovatieve technologische verkeersoplossingen te ontwikkelen en te implementeren. Het doel is om het verkeer veiliger, vlotter, duurzamer en comfortabeler te maken voor alle weggebruikers. Dit wordt bereikt door het gebruik van intelligente data en technologieën zoals intelligente verkeerslichten, verbeterde route-adviezen en op maat gemaakte verkeersmeldingen.</w:t>
      </w:r>
    </w:p>
    <w:p w14:paraId="000000D5"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Het programma Mobilidata bestaat uit verschillende nieuwe toepassingen die bijdragen tot een vlotter, duurzamer, meer comfortabel en veiliger verkeer. </w:t>
      </w:r>
    </w:p>
    <w:p w14:paraId="000000D6"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AWV speelt een cruciale rol binnen dit programma. Het programma realiseerde een platform dat intelligente ICT-systemen, ingebouwd in de nieuwe wegeninfrastructuur, connecteert met weggebruikers. Het Agentschap Wegen en Verkeer heeft als opdracht gekregen dit “Mobilidata” platform te ontwerpen, aan te leggen, te onderhouden, en om de elektromechanische en telematica-uitrustingen te beheren en technisch te exploiteren.</w:t>
      </w:r>
    </w:p>
    <w:p w14:paraId="000000D7" w14:textId="77777777" w:rsidR="00B647DC" w:rsidRPr="001E306A" w:rsidRDefault="00000000">
      <w:pPr>
        <w:numPr>
          <w:ilvl w:val="0"/>
          <w:numId w:val="20"/>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Om deze nieuwe of verbeterde diensten aan de weggebruikers te kunnen verlenen, rekent AWV op de aansluiting van en gegevensuitwisseling met service providers, Deze service providers leveren verkeersinformatiediensten aan hun aangesloten </w:t>
      </w:r>
      <w:r w:rsidRPr="001E306A">
        <w:rPr>
          <w:rFonts w:ascii="Times New Roman" w:eastAsia="Times New Roman" w:hAnsi="Times New Roman" w:cs="Times New Roman"/>
          <w:sz w:val="24"/>
          <w:szCs w:val="24"/>
        </w:rPr>
        <w:t>weggebruikers of partners die de link hebben met de weggebruikers.</w:t>
      </w:r>
    </w:p>
    <w:p w14:paraId="000000D8" w14:textId="77777777" w:rsidR="00B647DC" w:rsidRPr="001E306A"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lastRenderedPageBreak/>
        <w:t>AWV stelt verkeersgerelateerde gegevens  beschikbaar via de Mobilidata Interchange aan aangesloten partijen, met inachtneming van de beperkingen en verplichtingen van de Hoofdovereenkoms, inbegrepen maar niet beperkt tot de artikels 5, 6 en 7 van de Hoofdoveeenkomst. De gegevens mogen enkel gebruikt worden in het van de expliciet overeengekomen Use Case en doeleinden. De gegevensuitwisselingonder de Hoofdovereenkomst is beperkt tot real-time en/of near real-time verkeersinformatie, gerelateerd aan de overeengekomen Use Cases beschreven in Annex 1 van de Hoofdovereenkomst. Het gebruik van de gegevens voor andere doeleinden dan in deze overeenkomst is uitsluitend toegestaan met de voorafgaande schriftelijke toestemming van AWV.</w:t>
      </w:r>
    </w:p>
    <w:p w14:paraId="000000D9" w14:textId="1D48F993" w:rsidR="00B647DC" w:rsidRPr="001E306A"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t xml:space="preserve">Concreet: AWV deelt gegevens met </w:t>
      </w:r>
      <w:r w:rsidR="00912E48">
        <w:rPr>
          <w:rFonts w:ascii="Times New Roman" w:eastAsia="Times New Roman" w:hAnsi="Times New Roman" w:cs="Times New Roman"/>
          <w:sz w:val="24"/>
          <w:szCs w:val="24"/>
        </w:rPr>
        <w:t>Service Provider</w:t>
      </w:r>
      <w:r w:rsidRPr="001E306A">
        <w:rPr>
          <w:rFonts w:ascii="Times New Roman" w:eastAsia="Times New Roman" w:hAnsi="Times New Roman" w:cs="Times New Roman"/>
          <w:sz w:val="24"/>
          <w:szCs w:val="24"/>
        </w:rPr>
        <w:t xml:space="preserve"> zodat </w:t>
      </w:r>
      <w:r w:rsidR="00912E48">
        <w:rPr>
          <w:rFonts w:ascii="Times New Roman" w:eastAsia="Times New Roman" w:hAnsi="Times New Roman" w:cs="Times New Roman"/>
          <w:sz w:val="24"/>
          <w:szCs w:val="24"/>
        </w:rPr>
        <w:t>Service Provider</w:t>
      </w:r>
      <w:r w:rsidRPr="001E306A">
        <w:rPr>
          <w:rFonts w:ascii="Times New Roman" w:eastAsia="Times New Roman" w:hAnsi="Times New Roman" w:cs="Times New Roman"/>
          <w:sz w:val="24"/>
          <w:szCs w:val="24"/>
        </w:rPr>
        <w:t xml:space="preserve"> de volgende diensten kan leveren: het doorgeven van de gegevens ontvangen van AWV naar autoconstructeurs of andere leveranciers van verkeersinformatie-diensten.</w:t>
      </w:r>
      <w:r w:rsidR="00912E48">
        <w:rPr>
          <w:rFonts w:ascii="Times New Roman" w:eastAsia="Times New Roman" w:hAnsi="Times New Roman" w:cs="Times New Roman"/>
          <w:sz w:val="24"/>
          <w:szCs w:val="24"/>
        </w:rPr>
        <w:t xml:space="preserve"> </w:t>
      </w:r>
      <w:r w:rsidR="00912E48" w:rsidRPr="00912E48">
        <w:rPr>
          <w:rFonts w:ascii="Times New Roman" w:eastAsia="Times New Roman" w:hAnsi="Times New Roman" w:cs="Times New Roman"/>
          <w:sz w:val="24"/>
          <w:szCs w:val="24"/>
          <w:highlight w:val="yellow"/>
        </w:rPr>
        <w:t>[Update deze bullet tot die van toepassing is]</w:t>
      </w:r>
    </w:p>
    <w:p w14:paraId="000000DA" w14:textId="77777777" w:rsidR="00B647DC" w:rsidRPr="001E306A" w:rsidRDefault="00000000">
      <w:p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highlight w:val="yellow"/>
        </w:rPr>
        <w:t>Handtekening en datum: …</w:t>
      </w:r>
    </w:p>
    <w:p w14:paraId="000000DB" w14:textId="77777777" w:rsidR="00B647DC" w:rsidRPr="001E306A" w:rsidRDefault="00000000">
      <w:p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t>Rol (verwerkingsverantwoordelijke/verwerker): Verwerkingsverantwoordelijke</w:t>
      </w:r>
    </w:p>
    <w:p w14:paraId="000000DC"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DE"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DF" w14:textId="7A8BB087" w:rsidR="00B647DC" w:rsidRPr="001E306A" w:rsidRDefault="00000000">
      <w:pPr>
        <w:spacing w:before="120" w:after="120" w:line="240" w:lineRule="auto"/>
        <w:jc w:val="both"/>
        <w:rPr>
          <w:rFonts w:ascii="Times New Roman" w:eastAsia="Times New Roman" w:hAnsi="Times New Roman" w:cs="Times New Roman"/>
          <w:i/>
          <w:sz w:val="24"/>
          <w:szCs w:val="24"/>
          <w:shd w:val="clear" w:color="auto" w:fill="FF9900"/>
        </w:rPr>
      </w:pPr>
      <w:r w:rsidRPr="001E306A">
        <w:rPr>
          <w:rFonts w:ascii="Times New Roman" w:eastAsia="Times New Roman" w:hAnsi="Times New Roman" w:cs="Times New Roman"/>
          <w:b/>
          <w:sz w:val="24"/>
          <w:szCs w:val="24"/>
        </w:rPr>
        <w:t xml:space="preserve">Gegevensimporteur(s): </w:t>
      </w:r>
    </w:p>
    <w:p w14:paraId="000000E1" w14:textId="2E1C9B17" w:rsidR="00B647DC" w:rsidRPr="00912E48" w:rsidRDefault="00000000" w:rsidP="001E306A">
      <w:pPr>
        <w:spacing w:before="120" w:after="120" w:line="240" w:lineRule="auto"/>
        <w:jc w:val="both"/>
        <w:rPr>
          <w:rFonts w:ascii="Times New Roman" w:eastAsia="Times New Roman" w:hAnsi="Times New Roman" w:cs="Times New Roman"/>
          <w:sz w:val="24"/>
          <w:szCs w:val="24"/>
          <w:highlight w:val="yellow"/>
          <w:shd w:val="clear" w:color="auto" w:fill="FF9900"/>
          <w:lang w:val="nl-BE"/>
        </w:rPr>
      </w:pPr>
      <w:r w:rsidRPr="00912E48">
        <w:rPr>
          <w:rFonts w:ascii="Times New Roman" w:eastAsia="Times New Roman" w:hAnsi="Times New Roman" w:cs="Times New Roman"/>
          <w:sz w:val="24"/>
          <w:szCs w:val="24"/>
          <w:highlight w:val="yellow"/>
          <w:lang w:val="nl-BE"/>
        </w:rPr>
        <w:t>1. Naam</w:t>
      </w:r>
      <w:r w:rsidR="001E306A" w:rsidRPr="00912E48">
        <w:rPr>
          <w:rFonts w:ascii="Times New Roman" w:eastAsia="Times New Roman" w:hAnsi="Times New Roman" w:cs="Times New Roman"/>
          <w:sz w:val="24"/>
          <w:szCs w:val="24"/>
          <w:highlight w:val="yellow"/>
          <w:lang w:val="nl-BE"/>
        </w:rPr>
        <w:t xml:space="preserve"> Service Provider</w:t>
      </w:r>
      <w:r w:rsidRPr="00912E48">
        <w:rPr>
          <w:rFonts w:ascii="Times New Roman" w:eastAsia="Times New Roman" w:hAnsi="Times New Roman" w:cs="Times New Roman"/>
          <w:sz w:val="24"/>
          <w:szCs w:val="24"/>
          <w:highlight w:val="yellow"/>
          <w:lang w:val="nl-BE"/>
        </w:rPr>
        <w:t>:</w:t>
      </w:r>
      <w:r w:rsidRPr="00912E48">
        <w:rPr>
          <w:rFonts w:ascii="Times New Roman" w:eastAsia="Times New Roman" w:hAnsi="Times New Roman" w:cs="Times New Roman"/>
          <w:sz w:val="24"/>
          <w:szCs w:val="24"/>
          <w:highlight w:val="yellow"/>
          <w:shd w:val="clear" w:color="auto" w:fill="FF9900"/>
          <w:lang w:val="nl-BE"/>
        </w:rPr>
        <w:t xml:space="preserve"> </w:t>
      </w:r>
    </w:p>
    <w:p w14:paraId="7FA88214" w14:textId="7E93454E" w:rsidR="001E306A" w:rsidRPr="001E306A" w:rsidRDefault="001E306A" w:rsidP="001E306A">
      <w:pPr>
        <w:spacing w:before="120" w:after="120" w:line="240" w:lineRule="auto"/>
        <w:jc w:val="both"/>
        <w:rPr>
          <w:rFonts w:ascii="Times New Roman" w:eastAsia="Times New Roman" w:hAnsi="Times New Roman" w:cs="Times New Roman"/>
          <w:sz w:val="24"/>
          <w:szCs w:val="24"/>
          <w:highlight w:val="yellow"/>
        </w:rPr>
      </w:pPr>
      <w:r w:rsidRPr="001E306A">
        <w:rPr>
          <w:rFonts w:ascii="Times New Roman" w:eastAsia="Times New Roman" w:hAnsi="Times New Roman" w:cs="Times New Roman"/>
          <w:sz w:val="24"/>
          <w:szCs w:val="24"/>
          <w:highlight w:val="yellow"/>
        </w:rPr>
        <w:t>Adres:</w:t>
      </w:r>
    </w:p>
    <w:p w14:paraId="000000E2" w14:textId="4E71D295" w:rsidR="00B647DC" w:rsidRPr="001E306A" w:rsidRDefault="00000000" w:rsidP="001E306A">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highlight w:val="yellow"/>
        </w:rPr>
        <w:t>Naam, functie en contactgegevens van de contactpersoon: …</w:t>
      </w:r>
    </w:p>
    <w:p w14:paraId="000000E3" w14:textId="77777777" w:rsidR="00B647DC" w:rsidRPr="001E306A"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Activiteiten in verband met de overeenkomstig deze bepalingen doorgegeven gegevens:</w:t>
      </w:r>
      <w:r w:rsidRPr="001E306A">
        <w:rPr>
          <w:rFonts w:ascii="Times New Roman" w:eastAsia="Times New Roman" w:hAnsi="Times New Roman" w:cs="Times New Roman"/>
          <w:sz w:val="24"/>
          <w:szCs w:val="24"/>
          <w:shd w:val="clear" w:color="auto" w:fill="FF9900"/>
        </w:rPr>
        <w:t xml:space="preserve"> </w:t>
      </w:r>
    </w:p>
    <w:p w14:paraId="000000E4" w14:textId="338F10F2" w:rsidR="00B647DC" w:rsidRPr="001E306A" w:rsidRDefault="001E306A">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Service Provider is een deelnemer en gebruiker van smart mobility diensten uit het Mobilidata portfolio.</w:t>
      </w:r>
    </w:p>
    <w:p w14:paraId="000000E5" w14:textId="38D5FCA7" w:rsidR="00B647DC" w:rsidRPr="001E306A" w:rsidRDefault="001E306A">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Service Provider heeft het recht om de toegang tot de gegevens te gebruiken, strikt beperkt tot de realisatie van de Doeleinden en de overeengekomen Use Cases gedurende de Hoofdovereenkomst. De Partijen komen overeen om samen te werken met als doel innovatieve technologische verkeersoplossingen aan weggebruikers te bieden door het delen van real-time en/of near-time relevante gegevens via de Mobilidata Interchange. De samenwerking is gericht op de verbetering van verkeersveiligheid, doorstroming en het verhogen van de duurzaamheid (Art. 2 Hoofdovereenkomst).</w:t>
      </w:r>
    </w:p>
    <w:p w14:paraId="000000E6" w14:textId="25401EE2" w:rsidR="00B647DC" w:rsidRPr="001E306A" w:rsidRDefault="00000000">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De gegevensuitwisseling vindt plaats in het kader van de overeengekomen Use Cases en doeleinden beschreven en geformuleerd in Annex 1 van de Hoofdovereenkomst.</w:t>
      </w:r>
    </w:p>
    <w:p w14:paraId="000000E7" w14:textId="26ADF917" w:rsidR="00B647DC" w:rsidRPr="001E306A" w:rsidRDefault="00000000">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De Service Provider zorgt voor de naleving van de voorwaarden en bepalingen zoals uiteengezet in de Hoofdovereenkomst, inclusief de verplichting tot back-to-back contracteren van alle relevante bepalingen over gegevensgebruik en gegevensdeling in contracten met derden. (Art. 9.2. Main Agreement).</w:t>
      </w:r>
      <w:r w:rsidRPr="001E306A">
        <w:rPr>
          <w:rFonts w:ascii="Times New Roman" w:eastAsia="Times New Roman" w:hAnsi="Times New Roman" w:cs="Times New Roman"/>
          <w:sz w:val="24"/>
          <w:szCs w:val="24"/>
          <w:shd w:val="clear" w:color="auto" w:fill="FF9900"/>
        </w:rPr>
        <w:t xml:space="preserve"> </w:t>
      </w:r>
    </w:p>
    <w:p w14:paraId="000000E8" w14:textId="77777777" w:rsidR="00B647DC" w:rsidRPr="001E306A" w:rsidRDefault="00000000" w:rsidP="001E306A">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highlight w:val="yellow"/>
        </w:rPr>
        <w:t>Handtekening en datum: …</w:t>
      </w:r>
    </w:p>
    <w:p w14:paraId="000000E9" w14:textId="77777777" w:rsidR="00B647DC" w:rsidRPr="001E306A"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Rol (verwerkingsverantwoordelijke/verwerker): Verwerkingsverantwoordelijke</w:t>
      </w:r>
    </w:p>
    <w:p w14:paraId="000000EA" w14:textId="77777777" w:rsidR="00B647DC" w:rsidRPr="001E306A" w:rsidRDefault="00B647DC">
      <w:pPr>
        <w:spacing w:before="120" w:after="120" w:line="240" w:lineRule="auto"/>
        <w:jc w:val="both"/>
        <w:rPr>
          <w:rFonts w:ascii="Times New Roman" w:eastAsia="Times New Roman" w:hAnsi="Times New Roman" w:cs="Times New Roman"/>
          <w:sz w:val="24"/>
          <w:szCs w:val="24"/>
        </w:rPr>
      </w:pPr>
    </w:p>
    <w:p w14:paraId="6F87C5EC" w14:textId="77777777" w:rsidR="001E306A" w:rsidRPr="001E306A" w:rsidRDefault="001E306A">
      <w:pPr>
        <w:spacing w:before="240" w:after="120" w:line="240" w:lineRule="auto"/>
        <w:ind w:left="851"/>
        <w:jc w:val="both"/>
        <w:rPr>
          <w:rFonts w:ascii="Times New Roman" w:eastAsia="Times New Roman" w:hAnsi="Times New Roman" w:cs="Times New Roman"/>
          <w:b/>
          <w:sz w:val="24"/>
          <w:szCs w:val="24"/>
        </w:rPr>
      </w:pPr>
      <w:bookmarkStart w:id="1" w:name="_heading=h.tkhz1gy4737m" w:colFirst="0" w:colLast="0"/>
      <w:bookmarkEnd w:id="1"/>
    </w:p>
    <w:p w14:paraId="000000EC" w14:textId="7B39B2A8" w:rsidR="00B647DC" w:rsidRPr="001E306A" w:rsidRDefault="00000000">
      <w:pPr>
        <w:spacing w:before="240" w:after="120" w:line="240" w:lineRule="auto"/>
        <w:ind w:left="851"/>
        <w:jc w:val="both"/>
        <w:rPr>
          <w:rFonts w:ascii="Times New Roman" w:eastAsia="Times New Roman" w:hAnsi="Times New Roman" w:cs="Times New Roman"/>
          <w:b/>
          <w:sz w:val="24"/>
          <w:szCs w:val="24"/>
        </w:rPr>
      </w:pPr>
      <w:r w:rsidRPr="001E306A">
        <w:rPr>
          <w:rFonts w:ascii="Times New Roman" w:eastAsia="Times New Roman" w:hAnsi="Times New Roman" w:cs="Times New Roman"/>
          <w:b/>
          <w:sz w:val="24"/>
          <w:szCs w:val="24"/>
        </w:rPr>
        <w:lastRenderedPageBreak/>
        <w:t>B. BESCHRIJVING VAN DOORGIFTE</w:t>
      </w:r>
    </w:p>
    <w:p w14:paraId="000000ED" w14:textId="77777777" w:rsidR="00B647DC" w:rsidRPr="001E306A" w:rsidRDefault="00B647DC">
      <w:pPr>
        <w:spacing w:before="120" w:after="120" w:line="240" w:lineRule="auto"/>
        <w:jc w:val="both"/>
        <w:rPr>
          <w:rFonts w:ascii="Times New Roman" w:eastAsia="Times New Roman" w:hAnsi="Times New Roman" w:cs="Times New Roman"/>
          <w:b/>
          <w:sz w:val="24"/>
          <w:szCs w:val="24"/>
          <w:highlight w:val="lightGray"/>
        </w:rPr>
      </w:pPr>
    </w:p>
    <w:p w14:paraId="000000EE"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Categorieën van betrokkenen wier persoonsgegevens worden doorgegeven</w:t>
      </w:r>
    </w:p>
    <w:p w14:paraId="000000EF" w14:textId="77777777" w:rsidR="00B647DC" w:rsidRPr="001E306A" w:rsidRDefault="00000000"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Bestuurders van hulpdienstvoertuigen in Vlaanderen en grensgebieden</w:t>
      </w:r>
    </w:p>
    <w:p w14:paraId="000000F0" w14:textId="77777777" w:rsidR="00B647DC" w:rsidRPr="001E306A" w:rsidRDefault="00000000"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Bestuurders van  voorsignalisatie- of afschermende voertuigen, dienst- of werfvoertuigen in Vlaanderen en grensgebieden</w:t>
      </w:r>
    </w:p>
    <w:p w14:paraId="75F60587" w14:textId="72BD6D1C" w:rsidR="001E306A" w:rsidRPr="001E306A" w:rsidRDefault="001E306A"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0F1" w14:textId="77777777" w:rsidR="00B647DC" w:rsidRPr="001E306A" w:rsidRDefault="00B647DC">
      <w:pPr>
        <w:spacing w:before="120" w:after="120" w:line="240" w:lineRule="auto"/>
        <w:jc w:val="both"/>
        <w:rPr>
          <w:rFonts w:ascii="Times New Roman" w:eastAsia="Times New Roman" w:hAnsi="Times New Roman" w:cs="Times New Roman"/>
          <w:iCs/>
          <w:sz w:val="24"/>
          <w:szCs w:val="24"/>
        </w:rPr>
      </w:pPr>
    </w:p>
    <w:p w14:paraId="000000F2"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Categorieën van doorgegeven persoonsgegevens</w:t>
      </w:r>
    </w:p>
    <w:p w14:paraId="000000F3" w14:textId="77777777" w:rsidR="00B647DC" w:rsidRPr="001E306A" w:rsidRDefault="00000000" w:rsidP="001E306A">
      <w:pPr>
        <w:numPr>
          <w:ilvl w:val="0"/>
          <w:numId w:val="21"/>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Pseudoniem ID</w:t>
      </w:r>
    </w:p>
    <w:p w14:paraId="000000F4" w14:textId="77777777" w:rsidR="00B647DC" w:rsidRPr="001E306A" w:rsidRDefault="00000000" w:rsidP="001E306A">
      <w:pPr>
        <w:numPr>
          <w:ilvl w:val="0"/>
          <w:numId w:val="21"/>
        </w:numPr>
        <w:spacing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Real-time verplaatsingsgegevens van prioritaire voertuigen en (indien gekend) type van prioritair voertuig</w:t>
      </w:r>
    </w:p>
    <w:p w14:paraId="000000F5" w14:textId="0DEB6A73" w:rsidR="00B647DC" w:rsidRPr="001E306A" w:rsidRDefault="00000000" w:rsidP="001E306A">
      <w:pPr>
        <w:numPr>
          <w:ilvl w:val="0"/>
          <w:numId w:val="21"/>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Real-time verplaatsingsgegevens van voorsignalisatie- of afschermende voertuigen, dienst- of werfvoertuigen tijdens interventies of werkzaamheden en type van voertuig </w:t>
      </w:r>
    </w:p>
    <w:p w14:paraId="4983AA37"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3A2C1DE5" w14:textId="77777777" w:rsidR="001E306A" w:rsidRPr="001E306A" w:rsidRDefault="001E306A" w:rsidP="001E306A">
      <w:pPr>
        <w:spacing w:after="120" w:line="240" w:lineRule="auto"/>
        <w:ind w:left="360"/>
        <w:jc w:val="both"/>
        <w:rPr>
          <w:rFonts w:ascii="Times New Roman" w:eastAsia="Times New Roman" w:hAnsi="Times New Roman" w:cs="Times New Roman"/>
          <w:iCs/>
          <w:color w:val="1F497D"/>
          <w:sz w:val="24"/>
          <w:szCs w:val="24"/>
          <w:highlight w:val="yellow"/>
        </w:rPr>
      </w:pPr>
    </w:p>
    <w:p w14:paraId="000000F6"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Gevoelige gegevens die worden doorgegeven (indien van toepassing) en toegepaste beperkingen of waarborgen waarmee ten volle rekening wordt gehouden met de aard van de gegevens en de bijbehorende risico’s, zoals strikte beperking van het doel, toegangsbeperkingen (waaronder uitsluitend toegang voor personeelsleden die een gespecialiseerde opleiding hebben gevolgd), het in een register bijhouden van toegang tot de gegevens, beperkingen voor verdere doorgiften, of bijkomende beveiligingsmaatregelen.</w:t>
      </w:r>
    </w:p>
    <w:p w14:paraId="0AFC7241"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52ABF4C0" w14:textId="77777777" w:rsidR="001E306A" w:rsidRDefault="001E306A">
      <w:pPr>
        <w:spacing w:before="120" w:after="120" w:line="240" w:lineRule="auto"/>
        <w:jc w:val="both"/>
        <w:rPr>
          <w:rFonts w:ascii="Times New Roman" w:eastAsia="Times New Roman" w:hAnsi="Times New Roman" w:cs="Times New Roman"/>
          <w:iCs/>
          <w:sz w:val="24"/>
          <w:szCs w:val="24"/>
        </w:rPr>
      </w:pPr>
    </w:p>
    <w:p w14:paraId="000000F8" w14:textId="5505982E"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De frequentie van de doorgifte (bv. of de gegevens eenmalig of continu worden doorgegeven).</w:t>
      </w:r>
    </w:p>
    <w:p w14:paraId="2CA56244"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11784D35" w14:textId="77777777" w:rsidR="001E306A" w:rsidRDefault="001E306A">
      <w:pPr>
        <w:spacing w:before="120" w:after="120" w:line="240" w:lineRule="auto"/>
        <w:jc w:val="both"/>
        <w:rPr>
          <w:rFonts w:ascii="Times New Roman" w:eastAsia="Times New Roman" w:hAnsi="Times New Roman" w:cs="Times New Roman"/>
          <w:iCs/>
          <w:sz w:val="24"/>
          <w:szCs w:val="24"/>
        </w:rPr>
      </w:pPr>
    </w:p>
    <w:p w14:paraId="000000FA" w14:textId="29D95400"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Aard van de verwerking</w:t>
      </w:r>
    </w:p>
    <w:p w14:paraId="0A6BA2E5" w14:textId="77777777" w:rsidR="001E306A" w:rsidRPr="001E306A" w:rsidRDefault="001E306A" w:rsidP="001E306A">
      <w:pPr>
        <w:numPr>
          <w:ilvl w:val="0"/>
          <w:numId w:val="17"/>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0FC" w14:textId="1270BF68" w:rsidR="00B647DC" w:rsidRPr="001E306A" w:rsidRDefault="00B647DC">
      <w:pPr>
        <w:numPr>
          <w:ilvl w:val="0"/>
          <w:numId w:val="17"/>
        </w:numPr>
        <w:pBdr>
          <w:top w:val="nil"/>
          <w:left w:val="nil"/>
          <w:bottom w:val="nil"/>
          <w:right w:val="nil"/>
          <w:between w:val="nil"/>
        </w:pBdr>
        <w:spacing w:before="120" w:after="0" w:line="240" w:lineRule="auto"/>
        <w:jc w:val="both"/>
        <w:rPr>
          <w:rFonts w:ascii="Times New Roman" w:eastAsia="Times New Roman" w:hAnsi="Times New Roman" w:cs="Times New Roman"/>
          <w:iCs/>
          <w:color w:val="215E99"/>
          <w:sz w:val="24"/>
          <w:szCs w:val="24"/>
        </w:rPr>
      </w:pPr>
    </w:p>
    <w:p w14:paraId="000000FD" w14:textId="77777777" w:rsidR="00B647DC" w:rsidRPr="001E306A" w:rsidRDefault="00B647DC">
      <w:pPr>
        <w:pBdr>
          <w:top w:val="nil"/>
          <w:left w:val="nil"/>
          <w:bottom w:val="nil"/>
          <w:right w:val="nil"/>
          <w:between w:val="nil"/>
        </w:pBdr>
        <w:spacing w:after="120" w:line="240" w:lineRule="auto"/>
        <w:jc w:val="both"/>
        <w:rPr>
          <w:rFonts w:ascii="Times New Roman" w:eastAsia="Times New Roman" w:hAnsi="Times New Roman" w:cs="Times New Roman"/>
          <w:iCs/>
          <w:color w:val="215E99"/>
          <w:sz w:val="24"/>
          <w:szCs w:val="24"/>
        </w:rPr>
      </w:pPr>
    </w:p>
    <w:p w14:paraId="000000FE"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Doeleind(en) van de gegevensdoorgifte en verdere verwerking</w:t>
      </w:r>
    </w:p>
    <w:p w14:paraId="000000FF" w14:textId="1C879BA9"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De beoogde gegevensverwerking door </w:t>
      </w:r>
      <w:r w:rsidR="001E306A">
        <w:rPr>
          <w:rFonts w:ascii="Times New Roman" w:eastAsia="Times New Roman" w:hAnsi="Times New Roman" w:cs="Times New Roman"/>
          <w:iCs/>
          <w:sz w:val="24"/>
          <w:szCs w:val="24"/>
        </w:rPr>
        <w:t>Service Provider</w:t>
      </w:r>
      <w:r w:rsidRPr="001E306A">
        <w:rPr>
          <w:rFonts w:ascii="Times New Roman" w:eastAsia="Times New Roman" w:hAnsi="Times New Roman" w:cs="Times New Roman"/>
          <w:iCs/>
          <w:sz w:val="24"/>
          <w:szCs w:val="24"/>
        </w:rPr>
        <w:t xml:space="preserve"> gebeurt op grond van</w:t>
      </w:r>
    </w:p>
    <w:p w14:paraId="00000100"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Artikel 6.1.f: Gerechtvaardigd belang</w:t>
      </w:r>
    </w:p>
    <w:p w14:paraId="00000101" w14:textId="7D6C46AD" w:rsidR="00B647DC"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highlight w:val="yellow"/>
        </w:rPr>
        <w:t xml:space="preserve">gerechtvaardigd vanwege het recht op veiligheid voor de bij </w:t>
      </w:r>
      <w:r w:rsidR="00912E48">
        <w:rPr>
          <w:rFonts w:ascii="Times New Roman" w:eastAsia="Times New Roman" w:hAnsi="Times New Roman" w:cs="Times New Roman"/>
          <w:iCs/>
          <w:sz w:val="24"/>
          <w:szCs w:val="24"/>
          <w:highlight w:val="yellow"/>
        </w:rPr>
        <w:t>Service Provider</w:t>
      </w:r>
      <w:r w:rsidRPr="001E306A">
        <w:rPr>
          <w:rFonts w:ascii="Times New Roman" w:eastAsia="Times New Roman" w:hAnsi="Times New Roman" w:cs="Times New Roman"/>
          <w:iCs/>
          <w:sz w:val="24"/>
          <w:szCs w:val="24"/>
          <w:highlight w:val="yellow"/>
        </w:rPr>
        <w:t xml:space="preserve"> en partners aangesloten gebruikers (omdat de verkeersinformatie de gebruikers toelaat te anticiperen op risicovolle verkeerssituaties)</w:t>
      </w:r>
    </w:p>
    <w:p w14:paraId="32BDF3B2"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2A344814" w14:textId="77777777" w:rsidR="001E306A" w:rsidRPr="001E306A" w:rsidRDefault="001E306A" w:rsidP="001E306A">
      <w:pPr>
        <w:spacing w:before="120" w:after="120" w:line="240" w:lineRule="auto"/>
        <w:jc w:val="both"/>
        <w:rPr>
          <w:rFonts w:ascii="Times New Roman" w:eastAsia="Times New Roman" w:hAnsi="Times New Roman" w:cs="Times New Roman"/>
          <w:iCs/>
          <w:sz w:val="24"/>
          <w:szCs w:val="24"/>
          <w:highlight w:val="yellow"/>
        </w:rPr>
      </w:pPr>
    </w:p>
    <w:p w14:paraId="00000102" w14:textId="77777777" w:rsidR="00B647DC" w:rsidRPr="001E306A" w:rsidRDefault="00B647DC" w:rsidP="001E306A">
      <w:pPr>
        <w:spacing w:before="120" w:after="120" w:line="240" w:lineRule="auto"/>
        <w:jc w:val="both"/>
        <w:rPr>
          <w:rFonts w:ascii="Times New Roman" w:eastAsia="Times New Roman" w:hAnsi="Times New Roman" w:cs="Times New Roman"/>
          <w:iCs/>
          <w:sz w:val="24"/>
          <w:szCs w:val="24"/>
          <w:highlight w:val="yellow"/>
        </w:rPr>
      </w:pPr>
    </w:p>
    <w:p w14:paraId="00000103" w14:textId="77777777" w:rsidR="00B647DC" w:rsidRPr="00912E48" w:rsidRDefault="00000000" w:rsidP="001E306A">
      <w:pPr>
        <w:spacing w:before="120" w:after="120" w:line="240" w:lineRule="auto"/>
        <w:jc w:val="both"/>
        <w:rPr>
          <w:rFonts w:ascii="Times New Roman" w:eastAsia="Times New Roman" w:hAnsi="Times New Roman" w:cs="Times New Roman"/>
          <w:iCs/>
          <w:sz w:val="24"/>
          <w:szCs w:val="24"/>
        </w:rPr>
      </w:pPr>
      <w:r w:rsidRPr="00912E48">
        <w:rPr>
          <w:rFonts w:ascii="Times New Roman" w:eastAsia="Times New Roman" w:hAnsi="Times New Roman" w:cs="Times New Roman"/>
          <w:iCs/>
          <w:sz w:val="24"/>
          <w:szCs w:val="24"/>
        </w:rPr>
        <w:t>[AWV] heeft de opgevraagde gegevens oorspronkelijk verzameld voor volgende doeleinden:</w:t>
      </w:r>
    </w:p>
    <w:p w14:paraId="00000104"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het leveren en verbeteren van verkeersinformatiediensten aan alle weggebruikers, voor het waarschuwen van weggebruikers voor: </w:t>
      </w:r>
    </w:p>
    <w:p w14:paraId="00000105" w14:textId="77777777" w:rsidR="00B647DC" w:rsidRPr="001E306A" w:rsidRDefault="00000000" w:rsidP="001E306A">
      <w:pPr>
        <w:numPr>
          <w:ilvl w:val="0"/>
          <w:numId w:val="23"/>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stilstaande of aankomende hulpdiensten</w:t>
      </w:r>
    </w:p>
    <w:p w14:paraId="00000106" w14:textId="77777777" w:rsidR="00B647DC" w:rsidRPr="001E306A" w:rsidRDefault="00000000" w:rsidP="001E306A">
      <w:pPr>
        <w:numPr>
          <w:ilvl w:val="0"/>
          <w:numId w:val="23"/>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voorsignalisatie- of afschermende voertuigen, dienst- of werfvoertuigen tijdens interventies of werkzaamheden</w:t>
      </w:r>
    </w:p>
    <w:p w14:paraId="3DA6817F" w14:textId="77777777" w:rsidR="00912E48" w:rsidRDefault="00912E48" w:rsidP="001E306A">
      <w:pPr>
        <w:spacing w:before="120" w:after="120" w:line="240" w:lineRule="auto"/>
        <w:jc w:val="both"/>
        <w:rPr>
          <w:rFonts w:ascii="Times New Roman" w:eastAsia="Times New Roman" w:hAnsi="Times New Roman" w:cs="Times New Roman"/>
          <w:iCs/>
          <w:sz w:val="24"/>
          <w:szCs w:val="24"/>
          <w:highlight w:val="yellow"/>
        </w:rPr>
      </w:pPr>
    </w:p>
    <w:p w14:paraId="00000107" w14:textId="7C21F44F" w:rsidR="00B647DC" w:rsidRPr="00912E48" w:rsidRDefault="001E306A" w:rsidP="001E306A">
      <w:pPr>
        <w:spacing w:before="120" w:after="120" w:line="240" w:lineRule="auto"/>
        <w:jc w:val="both"/>
        <w:rPr>
          <w:rFonts w:ascii="Times New Roman" w:eastAsia="Times New Roman" w:hAnsi="Times New Roman" w:cs="Times New Roman"/>
          <w:iCs/>
          <w:sz w:val="24"/>
          <w:szCs w:val="24"/>
        </w:rPr>
      </w:pPr>
      <w:r w:rsidRPr="00912E48">
        <w:rPr>
          <w:rFonts w:ascii="Times New Roman" w:eastAsia="Times New Roman" w:hAnsi="Times New Roman" w:cs="Times New Roman"/>
          <w:iCs/>
          <w:sz w:val="24"/>
          <w:szCs w:val="24"/>
        </w:rPr>
        <w:t>Service Provider zal de opgevraagde gegevens verwerken voor volgende doeleinden:</w:t>
      </w:r>
    </w:p>
    <w:p w14:paraId="00000108"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het leveren en verbeteren van verkeersinformatiediensten aan bij haar aangesloten weggebruikersen bijvoorbeeld voor het waarschuwen van weggebruikers voor: </w:t>
      </w:r>
    </w:p>
    <w:p w14:paraId="00000109" w14:textId="77777777" w:rsidR="00B647DC" w:rsidRPr="001E306A" w:rsidRDefault="00000000" w:rsidP="001E306A">
      <w:pPr>
        <w:numPr>
          <w:ilvl w:val="0"/>
          <w:numId w:val="24"/>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stilstaande of aankomende hulpdiensten</w:t>
      </w:r>
    </w:p>
    <w:p w14:paraId="0000010A" w14:textId="77777777" w:rsidR="00B647DC" w:rsidRPr="001E306A" w:rsidRDefault="00000000" w:rsidP="001E306A">
      <w:pPr>
        <w:numPr>
          <w:ilvl w:val="0"/>
          <w:numId w:val="24"/>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voorsignalisatie- of afschermende voertuigen, dienst- of werfvoertuigen tijdens interventies of werkzaamheden</w:t>
      </w:r>
    </w:p>
    <w:p w14:paraId="3ECCFE5E" w14:textId="77777777" w:rsidR="001E306A" w:rsidRPr="001E306A" w:rsidRDefault="001E306A" w:rsidP="001E306A">
      <w:pPr>
        <w:pBdr>
          <w:top w:val="nil"/>
          <w:left w:val="nil"/>
          <w:bottom w:val="nil"/>
          <w:right w:val="nil"/>
          <w:between w:val="nil"/>
        </w:pBdr>
        <w:spacing w:after="120" w:line="240" w:lineRule="auto"/>
        <w:jc w:val="both"/>
        <w:rPr>
          <w:rFonts w:ascii="Times New Roman" w:eastAsia="Times New Roman" w:hAnsi="Times New Roman" w:cs="Times New Roman"/>
          <w:iCs/>
          <w:sz w:val="24"/>
          <w:szCs w:val="24"/>
        </w:rPr>
      </w:pPr>
    </w:p>
    <w:p w14:paraId="66B57A6D" w14:textId="2FD5F962" w:rsidR="001E306A" w:rsidRPr="001E306A" w:rsidRDefault="001E306A" w:rsidP="001E306A">
      <w:pPr>
        <w:pBdr>
          <w:top w:val="nil"/>
          <w:left w:val="nil"/>
          <w:bottom w:val="nil"/>
          <w:right w:val="nil"/>
          <w:between w:val="nil"/>
        </w:pBdr>
        <w:spacing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 </w:t>
      </w:r>
      <w:r w:rsidRPr="001E306A">
        <w:rPr>
          <w:rFonts w:ascii="Times New Roman" w:eastAsia="Times New Roman" w:hAnsi="Times New Roman" w:cs="Times New Roman"/>
          <w:iCs/>
          <w:sz w:val="24"/>
          <w:szCs w:val="24"/>
          <w:highlight w:val="yellow"/>
        </w:rPr>
        <w:t>[In deze paragraaf invullen wat van toepassing is]</w:t>
      </w:r>
    </w:p>
    <w:p w14:paraId="0000010B" w14:textId="77777777" w:rsidR="00B647DC" w:rsidRPr="001E306A" w:rsidRDefault="00B647DC" w:rsidP="001E306A">
      <w:pPr>
        <w:spacing w:before="120" w:after="120" w:line="240" w:lineRule="auto"/>
        <w:jc w:val="both"/>
        <w:rPr>
          <w:rFonts w:ascii="Times New Roman" w:eastAsia="Times New Roman" w:hAnsi="Times New Roman" w:cs="Times New Roman"/>
          <w:iCs/>
          <w:color w:val="1F497D"/>
          <w:sz w:val="24"/>
          <w:szCs w:val="24"/>
          <w:highlight w:val="yellow"/>
        </w:rPr>
      </w:pPr>
    </w:p>
    <w:p w14:paraId="0000010C"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De periode gedurende welke de persoonsgegevens zullen worden bewaard, of indien dat niet mogelijk is, de criteria om die termijn te bepalen </w:t>
      </w:r>
    </w:p>
    <w:p w14:paraId="77D5A2BD"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6C1F4C6B" w14:textId="77777777" w:rsidR="00912E48" w:rsidRDefault="00912E48" w:rsidP="001E306A">
      <w:pPr>
        <w:spacing w:before="120" w:after="120" w:line="240" w:lineRule="auto"/>
        <w:jc w:val="both"/>
        <w:rPr>
          <w:rFonts w:ascii="Times New Roman" w:eastAsia="Times New Roman" w:hAnsi="Times New Roman" w:cs="Times New Roman"/>
          <w:iCs/>
          <w:sz w:val="24"/>
          <w:szCs w:val="24"/>
        </w:rPr>
      </w:pPr>
    </w:p>
    <w:p w14:paraId="0000010E" w14:textId="5D965A9E" w:rsidR="00B647DC" w:rsidRPr="001E306A"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Voor doorgiften aan (sub-)verwerkers ook het onderwerp, de aard en de duur van de verwerking opgeven</w:t>
      </w:r>
    </w:p>
    <w:p w14:paraId="43D53AB5"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110" w14:textId="77777777" w:rsidR="00B647DC" w:rsidRPr="001E306A" w:rsidRDefault="00B647DC" w:rsidP="001E306A">
      <w:pPr>
        <w:spacing w:before="120" w:after="120" w:line="240" w:lineRule="auto"/>
        <w:jc w:val="both"/>
        <w:rPr>
          <w:rFonts w:ascii="Times New Roman" w:eastAsia="Times New Roman" w:hAnsi="Times New Roman" w:cs="Times New Roman"/>
          <w:iCs/>
          <w:sz w:val="24"/>
          <w:szCs w:val="24"/>
        </w:rPr>
      </w:pPr>
    </w:p>
    <w:p w14:paraId="00000111" w14:textId="77777777" w:rsidR="00B647DC" w:rsidRDefault="00000000" w:rsidP="001E306A">
      <w:pPr>
        <w:rPr>
          <w:rFonts w:ascii="Times New Roman" w:eastAsia="Times New Roman" w:hAnsi="Times New Roman" w:cs="Times New Roman"/>
          <w:b/>
          <w:sz w:val="24"/>
          <w:szCs w:val="24"/>
        </w:rPr>
      </w:pPr>
      <w:r>
        <w:br w:type="page"/>
      </w:r>
    </w:p>
    <w:p w14:paraId="00000112" w14:textId="77777777" w:rsidR="00B647DC" w:rsidRDefault="00000000">
      <w:pPr>
        <w:spacing w:before="120" w:after="120" w:line="240" w:lineRule="auto"/>
        <w:ind w:left="8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 BEVOEGDE TOEZICHTHOUDENDE AUTORITEIT</w:t>
      </w:r>
    </w:p>
    <w:p w14:paraId="00000113" w14:textId="77777777" w:rsidR="00B647DC" w:rsidRDefault="00B647DC">
      <w:pPr>
        <w:spacing w:before="120" w:after="120" w:line="240" w:lineRule="auto"/>
        <w:jc w:val="both"/>
        <w:rPr>
          <w:rFonts w:ascii="Times New Roman" w:eastAsia="Times New Roman" w:hAnsi="Times New Roman" w:cs="Times New Roman"/>
          <w:b/>
          <w:sz w:val="24"/>
          <w:szCs w:val="24"/>
          <w:highlight w:val="lightGray"/>
        </w:rPr>
      </w:pPr>
    </w:p>
    <w:p w14:paraId="00000114" w14:textId="77777777" w:rsidR="00B647DC" w:rsidRDefault="00B647DC">
      <w:pPr>
        <w:spacing w:before="120" w:after="120" w:line="240" w:lineRule="auto"/>
        <w:jc w:val="both"/>
        <w:rPr>
          <w:rFonts w:ascii="Times New Roman" w:eastAsia="Times New Roman" w:hAnsi="Times New Roman" w:cs="Times New Roman"/>
          <w:i/>
          <w:sz w:val="24"/>
          <w:szCs w:val="24"/>
        </w:rPr>
      </w:pPr>
    </w:p>
    <w:p w14:paraId="00000115" w14:textId="77777777" w:rsidR="00B647DC"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De bevoegde toezichthoudende autoriteiten identificeren in overeenstemming met bepaling 13</w:t>
      </w:r>
    </w:p>
    <w:p w14:paraId="00000116" w14:textId="77777777" w:rsidR="00B647DC" w:rsidRDefault="00000000">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Vlaamse Toezichtcommissie </w:t>
      </w:r>
    </w:p>
    <w:p w14:paraId="00000117" w14:textId="77777777" w:rsidR="00B647DC"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Koning Albert II-laan 15, 1210 Brussel </w:t>
      </w:r>
    </w:p>
    <w:p w14:paraId="00000118" w14:textId="77777777" w:rsidR="00B647DC"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+32 (0)2 553 20 85 </w:t>
      </w:r>
    </w:p>
    <w:p w14:paraId="00000119" w14:textId="77777777" w:rsidR="00B647DC" w:rsidRDefault="00000000">
      <w:pPr>
        <w:spacing w:before="120" w:after="120" w:line="240" w:lineRule="auto"/>
        <w:jc w:val="both"/>
        <w:rPr>
          <w:rFonts w:ascii="Times New Roman" w:eastAsia="Times New Roman" w:hAnsi="Times New Roman" w:cs="Times New Roman"/>
          <w:b/>
          <w:i/>
          <w:sz w:val="32"/>
          <w:szCs w:val="32"/>
          <w:u w:val="single"/>
        </w:rPr>
      </w:pPr>
      <w:r>
        <w:rPr>
          <w:rFonts w:ascii="Times New Roman" w:eastAsia="Times New Roman" w:hAnsi="Times New Roman" w:cs="Times New Roman"/>
          <w:sz w:val="24"/>
          <w:szCs w:val="24"/>
        </w:rPr>
        <w:t>contact@toezichtcommissie.be</w:t>
      </w:r>
      <w:r>
        <w:rPr>
          <w:rFonts w:ascii="Times New Roman" w:eastAsia="Times New Roman" w:hAnsi="Times New Roman" w:cs="Times New Roman"/>
          <w:i/>
          <w:sz w:val="24"/>
          <w:szCs w:val="24"/>
        </w:rPr>
        <w:t xml:space="preserve"> </w:t>
      </w:r>
      <w:r>
        <w:br w:type="page"/>
      </w:r>
    </w:p>
    <w:p w14:paraId="0000011A" w14:textId="77777777" w:rsidR="00B647DC"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BIJLAGE II - TECHNISCHE EN ORGANISATORISCHE MAATREGELEN WAARONDER TECHNISCHE EN ORGANISATORISCHE MAATREGELEN OM DE BEVEILIGING VAN DE GEGEVENS TE WAARBORGEN</w:t>
      </w:r>
    </w:p>
    <w:p w14:paraId="0000011B" w14:textId="77777777" w:rsidR="00B647DC" w:rsidRDefault="00B647DC">
      <w:pPr>
        <w:spacing w:before="120" w:after="120" w:line="240" w:lineRule="auto"/>
        <w:jc w:val="both"/>
        <w:rPr>
          <w:rFonts w:ascii="Times New Roman" w:eastAsia="Times New Roman" w:hAnsi="Times New Roman" w:cs="Times New Roman"/>
          <w:b/>
          <w:sz w:val="24"/>
          <w:szCs w:val="24"/>
          <w:highlight w:val="lightGray"/>
        </w:rPr>
      </w:pPr>
    </w:p>
    <w:p w14:paraId="0000011C"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11D"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TOELICHTING: </w:t>
      </w:r>
    </w:p>
    <w:p w14:paraId="0000011E"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technische en organisatorische maatregelen moeten concreet (en niet op generieke wijze) worden beschreven. Zie ook de algemene opmerking op de eerste pagina van het aanhangsel, met name met betrekking tot de noodzaak om duidelijk aan te geven welke maatregelen op elke doorgifte/reeks doorgiften van toepassing zijn.</w:t>
      </w:r>
    </w:p>
    <w:p w14:paraId="0000011F" w14:textId="149BE11D" w:rsidR="00B647DC" w:rsidRPr="001E306A" w:rsidRDefault="00000000">
      <w:pPr>
        <w:spacing w:after="0" w:line="240" w:lineRule="auto"/>
        <w:ind w:firstLine="720"/>
        <w:jc w:val="both"/>
        <w:rPr>
          <w:rFonts w:ascii="Times New Roman" w:eastAsia="Times New Roman" w:hAnsi="Times New Roman" w:cs="Times New Roman"/>
          <w:iCs/>
          <w:sz w:val="24"/>
          <w:szCs w:val="24"/>
          <w:shd w:val="clear" w:color="auto" w:fill="FF9900"/>
          <w:lang w:val="en-GB"/>
        </w:rPr>
      </w:pPr>
      <w:proofErr w:type="spellStart"/>
      <w:r w:rsidRPr="001E306A">
        <w:rPr>
          <w:rFonts w:ascii="Times New Roman" w:eastAsia="Times New Roman" w:hAnsi="Times New Roman" w:cs="Times New Roman"/>
          <w:iCs/>
          <w:sz w:val="24"/>
          <w:szCs w:val="24"/>
          <w:highlight w:val="yellow"/>
          <w:lang w:val="en-GB"/>
        </w:rPr>
        <w:t>zie</w:t>
      </w:r>
      <w:proofErr w:type="spellEnd"/>
      <w:r w:rsidRPr="001E306A">
        <w:rPr>
          <w:rFonts w:ascii="Times New Roman" w:eastAsia="Times New Roman" w:hAnsi="Times New Roman" w:cs="Times New Roman"/>
          <w:iCs/>
          <w:sz w:val="24"/>
          <w:szCs w:val="24"/>
          <w:highlight w:val="yellow"/>
          <w:lang w:val="en-GB"/>
        </w:rPr>
        <w:t xml:space="preserve"> </w:t>
      </w:r>
      <w:proofErr w:type="spellStart"/>
      <w:r w:rsidRPr="001E306A">
        <w:rPr>
          <w:rFonts w:ascii="Times New Roman" w:eastAsia="Times New Roman" w:hAnsi="Times New Roman" w:cs="Times New Roman"/>
          <w:iCs/>
          <w:sz w:val="24"/>
          <w:szCs w:val="24"/>
          <w:highlight w:val="yellow"/>
          <w:lang w:val="en-GB"/>
        </w:rPr>
        <w:t>bijlage</w:t>
      </w:r>
      <w:proofErr w:type="spellEnd"/>
      <w:r w:rsidRPr="001E306A">
        <w:rPr>
          <w:rFonts w:ascii="Times New Roman" w:eastAsia="Times New Roman" w:hAnsi="Times New Roman" w:cs="Times New Roman"/>
          <w:iCs/>
          <w:sz w:val="24"/>
          <w:szCs w:val="24"/>
          <w:highlight w:val="yellow"/>
          <w:lang w:val="en-GB"/>
        </w:rPr>
        <w:t xml:space="preserve"> 6 Completed Due Diligence Questionnaire</w:t>
      </w:r>
    </w:p>
    <w:p w14:paraId="00000120" w14:textId="77777777" w:rsidR="00B647DC" w:rsidRPr="001E306A" w:rsidRDefault="00B647DC">
      <w:pPr>
        <w:spacing w:after="240" w:line="240" w:lineRule="auto"/>
        <w:jc w:val="both"/>
        <w:rPr>
          <w:rFonts w:ascii="Times New Roman" w:eastAsia="Times New Roman" w:hAnsi="Times New Roman" w:cs="Times New Roman"/>
          <w:b/>
          <w:iCs/>
          <w:sz w:val="24"/>
          <w:szCs w:val="24"/>
          <w:shd w:val="clear" w:color="auto" w:fill="FF9900"/>
          <w:lang w:val="en-GB"/>
        </w:rPr>
      </w:pPr>
    </w:p>
    <w:p w14:paraId="00000121" w14:textId="77777777" w:rsidR="00B647DC" w:rsidRPr="001E306A" w:rsidRDefault="00000000">
      <w:pPr>
        <w:spacing w:before="120" w:after="240" w:line="240" w:lineRule="auto"/>
        <w:jc w:val="both"/>
        <w:rPr>
          <w:rFonts w:ascii="Times New Roman" w:eastAsia="Times New Roman" w:hAnsi="Times New Roman" w:cs="Times New Roman"/>
          <w:iCs/>
          <w:sz w:val="24"/>
          <w:szCs w:val="24"/>
          <w:shd w:val="clear" w:color="auto" w:fill="FF9900"/>
        </w:rPr>
      </w:pPr>
      <w:r w:rsidRPr="001E306A">
        <w:rPr>
          <w:rFonts w:ascii="Times New Roman" w:eastAsia="Times New Roman" w:hAnsi="Times New Roman" w:cs="Times New Roman"/>
          <w:iCs/>
          <w:sz w:val="24"/>
          <w:szCs w:val="24"/>
          <w:highlight w:val="yellow"/>
        </w:rPr>
        <w:t>Voor doorgiften aan (sub-)verwerkers ook de specifieke technische en organisatorische maatregelen beschrijven die de (sub-)verwerker moet nemen om bijstand te kunnen verlenen aan de verwerkingsverantwoordelijke en, voor doorgiften van een verwerker aan een subverwerker, aan de gegevensexporteur</w:t>
      </w:r>
      <w:r w:rsidRPr="001E306A">
        <w:rPr>
          <w:rFonts w:ascii="Times New Roman" w:eastAsia="Times New Roman" w:hAnsi="Times New Roman" w:cs="Times New Roman"/>
          <w:iCs/>
          <w:sz w:val="24"/>
          <w:szCs w:val="24"/>
          <w:shd w:val="clear" w:color="auto" w:fill="FF9900"/>
        </w:rPr>
        <w:t xml:space="preserve"> </w:t>
      </w:r>
    </w:p>
    <w:p w14:paraId="00000122" w14:textId="77777777" w:rsidR="00B647DC" w:rsidRDefault="00B647DC">
      <w:pPr>
        <w:spacing w:before="120" w:after="240" w:line="240" w:lineRule="auto"/>
        <w:jc w:val="both"/>
        <w:rPr>
          <w:rFonts w:ascii="Times New Roman" w:eastAsia="Times New Roman" w:hAnsi="Times New Roman" w:cs="Times New Roman"/>
          <w:sz w:val="24"/>
          <w:szCs w:val="24"/>
        </w:rPr>
      </w:pPr>
      <w:bookmarkStart w:id="2" w:name="_heading=h.80w5ag20yicq" w:colFirst="0" w:colLast="0"/>
      <w:bookmarkEnd w:id="2"/>
    </w:p>
    <w:sectPr w:rsidR="00B647DC">
      <w:headerReference w:type="even" r:id="rId15"/>
      <w:headerReference w:type="default" r:id="rId16"/>
      <w:footerReference w:type="even" r:id="rId17"/>
      <w:footerReference w:type="default" r:id="rId18"/>
      <w:headerReference w:type="first" r:id="rId19"/>
      <w:footerReference w:type="first" r:id="rId20"/>
      <w:pgSz w:w="11906" w:h="16838"/>
      <w:pgMar w:top="1134" w:right="1417" w:bottom="1134" w:left="1417"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68FBE" w14:textId="77777777" w:rsidR="00DC026F" w:rsidRDefault="00DC026F">
      <w:pPr>
        <w:spacing w:after="0" w:line="240" w:lineRule="auto"/>
      </w:pPr>
      <w:r>
        <w:separator/>
      </w:r>
    </w:p>
  </w:endnote>
  <w:endnote w:type="continuationSeparator" w:id="0">
    <w:p w14:paraId="2C83273D" w14:textId="77777777" w:rsidR="00DC026F" w:rsidRDefault="00DC02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66A54677-8D25-40D5-9E63-C4F94D602669}"/>
  </w:font>
  <w:font w:name="Calibri">
    <w:panose1 w:val="020F0502020204030204"/>
    <w:charset w:val="00"/>
    <w:family w:val="swiss"/>
    <w:pitch w:val="variable"/>
    <w:sig w:usb0="E4002EFF" w:usb1="C200247B" w:usb2="00000009" w:usb3="00000000" w:csb0="000001FF" w:csb1="00000000"/>
    <w:embedRegular r:id="rId2" w:fontKey="{649BCAC0-2843-4857-8605-E6AA43737122}"/>
    <w:embedBold r:id="rId3" w:fontKey="{DC79744B-40B0-4436-8889-35E76E40AA24}"/>
    <w:embedItalic r:id="rId4" w:fontKey="{33F53FCC-7563-45DA-8266-22F67EF59587}"/>
  </w:font>
  <w:font w:name="Segoe UI">
    <w:panose1 w:val="020B0502040204020203"/>
    <w:charset w:val="00"/>
    <w:family w:val="swiss"/>
    <w:pitch w:val="variable"/>
    <w:sig w:usb0="E4002EFF" w:usb1="C000E47F" w:usb2="00000009" w:usb3="00000000" w:csb0="000001FF" w:csb1="00000000"/>
    <w:embedRegular r:id="rId5" w:fontKey="{1668E571-FF21-4AD9-92E7-3074F42CEA2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4486B5AA-FC6C-45B1-82A0-25CEB3A2A2F5}"/>
    <w:embedItalic r:id="rId7" w:fontKey="{5541CE85-49FE-439C-8E04-16DD8D92137B}"/>
  </w:font>
  <w:font w:name="Cambria">
    <w:panose1 w:val="02040503050406030204"/>
    <w:charset w:val="00"/>
    <w:family w:val="roman"/>
    <w:pitch w:val="variable"/>
    <w:sig w:usb0="E00006FF" w:usb1="420024FF" w:usb2="02000000" w:usb3="00000000" w:csb0="0000019F" w:csb1="00000000"/>
    <w:embedRegular r:id="rId8" w:fontKey="{5143A12F-28D6-493A-97ED-2835E4C8CA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0"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1" w14:textId="77777777" w:rsidR="00B647DC" w:rsidRDefault="00000000">
    <w:pPr>
      <w:pBdr>
        <w:top w:val="nil"/>
        <w:left w:val="nil"/>
        <w:bottom w:val="nil"/>
        <w:right w:val="nil"/>
        <w:between w:val="nil"/>
      </w:pBdr>
      <w:tabs>
        <w:tab w:val="center" w:pos="4535"/>
        <w:tab w:val="right" w:pos="9071"/>
        <w:tab w:val="right" w:pos="9921"/>
      </w:tabs>
      <w:spacing w:before="360" w:after="0" w:line="240" w:lineRule="auto"/>
      <w:ind w:left="-850" w:right="-850"/>
      <w:rPr>
        <w:rFonts w:ascii="Arial" w:eastAsia="Arial" w:hAnsi="Arial" w:cs="Arial"/>
        <w:b/>
        <w:color w:val="000000"/>
        <w:sz w:val="48"/>
        <w:szCs w:val="48"/>
      </w:rPr>
    </w:pPr>
    <w:r>
      <w:rPr>
        <w:rFonts w:ascii="Arial" w:eastAsia="Arial" w:hAnsi="Arial" w:cs="Arial"/>
        <w:b/>
        <w:color w:val="000000"/>
        <w:sz w:val="48"/>
        <w:szCs w:val="48"/>
      </w:rPr>
      <w:t>NL</w:t>
    </w:r>
    <w:r>
      <w:rPr>
        <w:rFonts w:ascii="Arial" w:eastAsia="Arial" w:hAnsi="Arial" w:cs="Arial"/>
        <w:b/>
        <w:color w:val="000000"/>
        <w:sz w:val="48"/>
        <w:szCs w:val="48"/>
      </w:rPr>
      <w:tab/>
    </w:r>
    <w:r>
      <w:rPr>
        <w:rFonts w:ascii="Arial" w:eastAsia="Arial" w:hAnsi="Arial" w:cs="Arial"/>
        <w:b/>
        <w:color w:val="000000"/>
        <w:sz w:val="48"/>
        <w:szCs w:val="48"/>
      </w:rPr>
      <w:tab/>
    </w:r>
    <w:r>
      <w:rPr>
        <w:rFonts w:ascii="Times New Roman" w:eastAsia="Times New Roman" w:hAnsi="Times New Roman" w:cs="Times New Roman"/>
        <w:color w:val="000000"/>
        <w:sz w:val="24"/>
        <w:szCs w:val="24"/>
      </w:rPr>
      <w:tab/>
    </w:r>
    <w:r>
      <w:rPr>
        <w:rFonts w:ascii="Arial" w:eastAsia="Arial" w:hAnsi="Arial" w:cs="Arial"/>
        <w:b/>
        <w:color w:val="000000"/>
        <w:sz w:val="48"/>
        <w:szCs w:val="48"/>
      </w:rPr>
      <w:t>NL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2" w14:textId="77777777" w:rsidR="00B647DC" w:rsidRDefault="00B647DC">
    <w:pPr>
      <w:pBdr>
        <w:top w:val="nil"/>
        <w:left w:val="nil"/>
        <w:bottom w:val="nil"/>
        <w:right w:val="nil"/>
        <w:between w:val="nil"/>
      </w:pBdr>
      <w:tabs>
        <w:tab w:val="center" w:pos="4535"/>
        <w:tab w:val="right" w:pos="9071"/>
        <w:tab w:val="right" w:pos="9921"/>
      </w:tabs>
      <w:spacing w:before="360" w:after="0" w:line="240" w:lineRule="auto"/>
      <w:ind w:left="-850" w:right="-850"/>
      <w:rPr>
        <w:rFonts w:ascii="Times New Roman" w:eastAsia="Times New Roman" w:hAnsi="Times New Roman" w:cs="Times New Roman"/>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3"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4" w14:textId="076085C0" w:rsidR="00B647DC" w:rsidRDefault="0000000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48"/>
        <w:szCs w:val="48"/>
      </w:rPr>
    </w:pPr>
    <w:r>
      <w:rPr>
        <w:rFonts w:ascii="Arial" w:eastAsia="Arial" w:hAnsi="Arial" w:cs="Arial"/>
        <w:b/>
        <w:color w:val="000000"/>
        <w:sz w:val="48"/>
        <w:szCs w:val="48"/>
      </w:rPr>
      <w:t>NL</w:t>
    </w:r>
    <w:r>
      <w:rPr>
        <w:color w:val="000000"/>
      </w:rPr>
      <w:tab/>
    </w:r>
    <w:r>
      <w:rPr>
        <w:color w:val="000000"/>
      </w:rPr>
      <w:fldChar w:fldCharType="begin"/>
    </w:r>
    <w:r>
      <w:rPr>
        <w:color w:val="000000"/>
      </w:rPr>
      <w:instrText>PAGE</w:instrText>
    </w:r>
    <w:r>
      <w:rPr>
        <w:color w:val="000000"/>
      </w:rPr>
      <w:fldChar w:fldCharType="separate"/>
    </w:r>
    <w:r w:rsidR="001E306A">
      <w:rPr>
        <w:noProof/>
        <w:color w:val="000000"/>
      </w:rPr>
      <w:t>1</w:t>
    </w:r>
    <w:r>
      <w:rPr>
        <w:color w:val="000000"/>
      </w:rPr>
      <w:fldChar w:fldCharType="end"/>
    </w:r>
    <w:r>
      <w:rPr>
        <w:color w:val="000000"/>
      </w:rPr>
      <w:tab/>
    </w:r>
    <w:r>
      <w:rPr>
        <w:rFonts w:ascii="Arial" w:eastAsia="Arial" w:hAnsi="Arial" w:cs="Arial"/>
        <w:b/>
        <w:color w:val="000000"/>
        <w:sz w:val="48"/>
        <w:szCs w:val="48"/>
      </w:rPr>
      <w:t>NL</w:t>
    </w:r>
    <w:r>
      <w:rPr>
        <w:color w:val="000000"/>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5"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95744" w14:textId="77777777" w:rsidR="00DC026F" w:rsidRDefault="00DC026F">
      <w:pPr>
        <w:spacing w:after="0" w:line="240" w:lineRule="auto"/>
      </w:pPr>
      <w:r>
        <w:separator/>
      </w:r>
    </w:p>
  </w:footnote>
  <w:footnote w:type="continuationSeparator" w:id="0">
    <w:p w14:paraId="53F7FDE2" w14:textId="77777777" w:rsidR="00DC026F" w:rsidRDefault="00DC026F">
      <w:pPr>
        <w:spacing w:after="0" w:line="240" w:lineRule="auto"/>
      </w:pPr>
      <w:r>
        <w:continuationSeparator/>
      </w:r>
    </w:p>
  </w:footnote>
  <w:footnote w:id="1">
    <w:p w14:paraId="00000123"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Wanneer de gegevensexporteur een onder Verordening (EU) 2016/679 vallende verwerker is die namens een instelling of orgaan van de Unie optreedt als verwerkingsverantwoordelijke, garandeert de toepassing van deze bepalingen bij het in dienst nemen van een andere verwerker (subverwerker) die niet onder Verordening (EU) 2016/679 valt ook de naleving van artikel 29, lid 4, van Verordening (EU) 2018/1725 van het Europees Parlement en de Raad van 23 oktober 2018 betreffende de bescherming van natuurlijke personen in verband met de verwerking van persoonsgegevens door de instellingen, organen en instanties van de Unie en betreffende het vrije verkeer van die gegevens, en tot intrekking van Verordening (EG) nr. 45/2001 en Besluit nr. 1247/2002/EG (PB L 295 van 21.11.2018, blz. 39), voor zover deze bepalingen en de verplichtingen inzake gegevensbescherming zoals opgenomen in de overeenkomst of andere rechtshandeling tussen de verwerkingsverantwoordelijke en de verwerker overeenkomstig artikel 29, lid 3, van Verordening (EU) 2018/1725 op één lijn zijn gebracht. Dat is met name het geval wanneer de verwerkingsverantwoordelijke en de verwerker zich baseren op de in Besluit […] opgenomen standaardcontractbepalingen.</w:t>
      </w:r>
    </w:p>
  </w:footnote>
  <w:footnote w:id="2">
    <w:p w14:paraId="00000124"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Dit vereist dat de gegevens op dusdanige wijze anoniem moeten worden gemaakt dat de persoon door niemand meer geïdentificeerd kan worden, overeenkomstig overweging 26 van Verordening (EU) 2016/679, en dat dit proces onomkeerbaar is.</w:t>
      </w:r>
    </w:p>
  </w:footnote>
  <w:footnote w:id="3">
    <w:p w14:paraId="00000125"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De Overeenkomst betreffende de Europese Economische Ruimte (EER-overeenkomst) voorziet in de uitbreiding van de interne markt van de Europese Unie met de drie EER-staten IJsland, Liechtenstein en Noorwegen. De Uniewetgeving inzake gegevensbescherming, waaronder Verordening (EU) 2016/679, valt onder de EER-overeenkomst en is in bijlage XI daarbij opgenomen. Derhalve wordt een verstrekking door de gegevensimporteur aan een in de EER gevestigde derde partij voor de toepassing van deze bepalingen niet als een verdere doorgifte aangemerkt.</w:t>
      </w:r>
    </w:p>
    <w:p w14:paraId="00000126" w14:textId="77777777" w:rsidR="00B647DC" w:rsidRDefault="00B647D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4">
    <w:p w14:paraId="00000127"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Afhankelijk van de complexiteit van de verzoeken en van het aantal verzoeken kan die termijn indien nodig met maximaal twee maanden worden verlengd. De gegevensimporteur stelt de betrokkene naar behoren en onverwijld in kennis van een dergelijke verlenging. </w:t>
      </w:r>
    </w:p>
  </w:footnote>
  <w:footnote w:id="5">
    <w:p w14:paraId="00000128"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De gegevensimporteur mag alleen onafhankelijke geschillenbeslechting via een arbitragecommissie aanbieden als hij gevestigd is in een land dat het Verdrag van New York over de erkenning en tenuitvoerlegging van buitenlandse scheidsrechterlijke uitspraken heeft geratificeerd.</w:t>
      </w:r>
      <w:r>
        <w:rPr>
          <w:rFonts w:ascii="Times New Roman" w:eastAsia="Times New Roman" w:hAnsi="Times New Roman" w:cs="Times New Roman"/>
          <w:color w:val="000000"/>
          <w:sz w:val="20"/>
          <w:szCs w:val="20"/>
        </w:rPr>
        <w:tab/>
      </w:r>
    </w:p>
  </w:footnote>
  <w:footnote w:id="6">
    <w:p w14:paraId="00000129"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Met betrekking tot het effect van dergelijke wetten en praktijken op de naleving van de bepalingen, kunnen verschillende elementen worden beschouwd als onderdeel van een algemene beoordeling. Het kan hierbij gaan om relevante en gedocumenteerde praktijkervaring met eerdere gevallen van verzoeken om verstrekking van overheidsinstanties, of het ontbreken van dergelijke verzoeken, gedurende een voldoende representatief tijdsbestek. Dit heeft met name betrekking op interne registers of andere documenten die doorlopend en met de nodige zorgvuldigheid zijn opgesteld en op seniormanagementniveau zijn gecertificeerd, mits deze informatie rechtmatig met derde partijen kan worden gedeeld. Indien van deze praktijkervaring wordt uitgegaan om te concluderen dat de gegevensimporteur niet gehinderd zal worden om deze bepalingen na te leven, moet die ervaring worden ondersteund door andere relevante objectieve elementen en dienen de partijen zorgvuldig na te gaan of deze elementen wat de betrouwbaarheid en representativiteit ervan betreft samen voldoende gewicht in de schaal leggen om deze conclusie te ondersteunen. De partijen moeten er met name rekening mee houden of hun praktijkervaring wordt bevestigd en niet wordt tegengesproken door openbaar beschikbare of anderszins toegankelijke betrouwbare informatie over het bestaan of het ontbreken van verzoeken binnen dezelfde sector en/of de toepassing van het recht in de praktijk, zoals jurisprudentie en verslagen van onafhankelijke toezichthoudende organen.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A"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B" w14:textId="77777777" w:rsidR="00B647DC" w:rsidRDefault="00B647DC">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C" w14:textId="77777777" w:rsidR="00B647DC" w:rsidRDefault="00B647DC">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D"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E"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F"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D1C09"/>
    <w:multiLevelType w:val="multilevel"/>
    <w:tmpl w:val="82685224"/>
    <w:lvl w:ilvl="0">
      <w:start w:val="1"/>
      <w:numFmt w:val="decimal"/>
      <w:pStyle w:val="ListBullet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 w15:restartNumberingAfterBreak="0">
    <w:nsid w:val="059C5952"/>
    <w:multiLevelType w:val="multilevel"/>
    <w:tmpl w:val="CB32E14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 w15:restartNumberingAfterBreak="0">
    <w:nsid w:val="086A7D1D"/>
    <w:multiLevelType w:val="multilevel"/>
    <w:tmpl w:val="4A7A8DDC"/>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3" w15:restartNumberingAfterBreak="0">
    <w:nsid w:val="0AE81E06"/>
    <w:multiLevelType w:val="multilevel"/>
    <w:tmpl w:val="E794DDB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4" w15:restartNumberingAfterBreak="0">
    <w:nsid w:val="0FFF4BAF"/>
    <w:multiLevelType w:val="multilevel"/>
    <w:tmpl w:val="5AEEB48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D6596B"/>
    <w:multiLevelType w:val="multilevel"/>
    <w:tmpl w:val="52CA7BEA"/>
    <w:lvl w:ilvl="0">
      <w:start w:val="1"/>
      <w:numFmt w:val="decimal"/>
      <w:pStyle w:val="ListNumber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6" w15:restartNumberingAfterBreak="0">
    <w:nsid w:val="1A20689E"/>
    <w:multiLevelType w:val="multilevel"/>
    <w:tmpl w:val="AB94C2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DD10F77"/>
    <w:multiLevelType w:val="multilevel"/>
    <w:tmpl w:val="0778DC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1346E72"/>
    <w:multiLevelType w:val="multilevel"/>
    <w:tmpl w:val="99DAB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D182359"/>
    <w:multiLevelType w:val="multilevel"/>
    <w:tmpl w:val="B2AA95E4"/>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D1F3BB6"/>
    <w:multiLevelType w:val="multilevel"/>
    <w:tmpl w:val="D392388A"/>
    <w:lvl w:ilvl="0">
      <w:start w:val="1"/>
      <w:numFmt w:val="decimal"/>
      <w:pStyle w:val="ListBullet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1" w15:restartNumberingAfterBreak="0">
    <w:nsid w:val="357E5730"/>
    <w:multiLevelType w:val="multilevel"/>
    <w:tmpl w:val="2966860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2" w15:restartNumberingAfterBreak="0">
    <w:nsid w:val="36923281"/>
    <w:multiLevelType w:val="multilevel"/>
    <w:tmpl w:val="8BC6A720"/>
    <w:lvl w:ilvl="0">
      <w:start w:val="1"/>
      <w:numFmt w:val="decimal"/>
      <w:pStyle w:val="ListNumber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3" w15:restartNumberingAfterBreak="0">
    <w:nsid w:val="3C676EE2"/>
    <w:multiLevelType w:val="multilevel"/>
    <w:tmpl w:val="69AE9530"/>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2B726D3"/>
    <w:multiLevelType w:val="multilevel"/>
    <w:tmpl w:val="3E0CC0F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5" w15:restartNumberingAfterBreak="0">
    <w:nsid w:val="46671487"/>
    <w:multiLevelType w:val="multilevel"/>
    <w:tmpl w:val="4992C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6A140E3"/>
    <w:multiLevelType w:val="multilevel"/>
    <w:tmpl w:val="2650457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7" w15:restartNumberingAfterBreak="0">
    <w:nsid w:val="489A7C52"/>
    <w:multiLevelType w:val="multilevel"/>
    <w:tmpl w:val="67FA3AF2"/>
    <w:lvl w:ilvl="0">
      <w:start w:val="1"/>
      <w:numFmt w:val="decimal"/>
      <w:pStyle w:val="ListBullet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8" w15:restartNumberingAfterBreak="0">
    <w:nsid w:val="48E4260F"/>
    <w:multiLevelType w:val="multilevel"/>
    <w:tmpl w:val="AB2432A8"/>
    <w:lvl w:ilvl="0">
      <w:start w:val="1"/>
      <w:numFmt w:val="decimal"/>
      <w:pStyle w:val="ListNumber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9" w15:restartNumberingAfterBreak="0">
    <w:nsid w:val="4C65084B"/>
    <w:multiLevelType w:val="multilevel"/>
    <w:tmpl w:val="BEEE5B80"/>
    <w:lvl w:ilvl="0">
      <w:start w:val="1"/>
      <w:numFmt w:val="decimal"/>
      <w:pStyle w:val="ListBullet"/>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0" w15:restartNumberingAfterBreak="0">
    <w:nsid w:val="4EAA0CD6"/>
    <w:multiLevelType w:val="multilevel"/>
    <w:tmpl w:val="1B0A984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1" w15:restartNumberingAfterBreak="0">
    <w:nsid w:val="53EE2A2E"/>
    <w:multiLevelType w:val="multilevel"/>
    <w:tmpl w:val="BA165EB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CC9659B"/>
    <w:multiLevelType w:val="multilevel"/>
    <w:tmpl w:val="5F50D7FE"/>
    <w:lvl w:ilvl="0">
      <w:start w:val="1"/>
      <w:numFmt w:val="decimal"/>
      <w:pStyle w:val="ListNumber"/>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3" w15:restartNumberingAfterBreak="0">
    <w:nsid w:val="7B787E89"/>
    <w:multiLevelType w:val="multilevel"/>
    <w:tmpl w:val="5A5CD924"/>
    <w:lvl w:ilvl="0">
      <w:start w:val="1"/>
      <w:numFmt w:val="decimal"/>
      <w:pStyle w:val="Point0number"/>
      <w:lvlText w:val="(%1)"/>
      <w:lvlJc w:val="left"/>
      <w:pPr>
        <w:ind w:left="850" w:hanging="850"/>
      </w:pPr>
    </w:lvl>
    <w:lvl w:ilvl="1">
      <w:start w:val="1"/>
      <w:numFmt w:val="lowerLetter"/>
      <w:pStyle w:val="Point0letter"/>
      <w:lvlText w:val="(%2)"/>
      <w:lvlJc w:val="left"/>
      <w:pPr>
        <w:ind w:left="850" w:hanging="850"/>
      </w:pPr>
    </w:lvl>
    <w:lvl w:ilvl="2">
      <w:start w:val="1"/>
      <w:numFmt w:val="decimal"/>
      <w:pStyle w:val="Point1number"/>
      <w:lvlText w:val="(%3)"/>
      <w:lvlJc w:val="left"/>
      <w:pPr>
        <w:ind w:left="1417" w:hanging="567"/>
      </w:pPr>
    </w:lvl>
    <w:lvl w:ilvl="3">
      <w:start w:val="1"/>
      <w:numFmt w:val="lowerRoman"/>
      <w:lvlText w:val="(%4)"/>
      <w:lvlJc w:val="left"/>
      <w:pPr>
        <w:ind w:left="1417" w:hanging="567"/>
      </w:pPr>
    </w:lvl>
    <w:lvl w:ilvl="4">
      <w:start w:val="1"/>
      <w:numFmt w:val="decimal"/>
      <w:pStyle w:val="Point2number"/>
      <w:lvlText w:val="(%5)"/>
      <w:lvlJc w:val="left"/>
      <w:pPr>
        <w:ind w:left="1984" w:hanging="567"/>
      </w:pPr>
    </w:lvl>
    <w:lvl w:ilvl="5">
      <w:start w:val="1"/>
      <w:numFmt w:val="lowerLetter"/>
      <w:pStyle w:val="Point2letter"/>
      <w:lvlText w:val="(%6)"/>
      <w:lvlJc w:val="left"/>
      <w:pPr>
        <w:ind w:left="1984" w:hanging="567"/>
      </w:pPr>
    </w:lvl>
    <w:lvl w:ilvl="6">
      <w:start w:val="1"/>
      <w:numFmt w:val="decimal"/>
      <w:pStyle w:val="Point3number"/>
      <w:lvlText w:val="(%7)"/>
      <w:lvlJc w:val="left"/>
      <w:pPr>
        <w:ind w:left="2551" w:hanging="567"/>
      </w:pPr>
    </w:lvl>
    <w:lvl w:ilvl="7">
      <w:start w:val="1"/>
      <w:numFmt w:val="lowerLetter"/>
      <w:pStyle w:val="Point3letter"/>
      <w:lvlText w:val="(%8)"/>
      <w:lvlJc w:val="left"/>
      <w:pPr>
        <w:ind w:left="2551" w:hanging="567"/>
      </w:pPr>
    </w:lvl>
    <w:lvl w:ilvl="8">
      <w:start w:val="1"/>
      <w:numFmt w:val="lowerLetter"/>
      <w:pStyle w:val="Point4letter"/>
      <w:lvlText w:val="(%9)"/>
      <w:lvlJc w:val="left"/>
      <w:pPr>
        <w:ind w:left="3118" w:hanging="567"/>
      </w:pPr>
    </w:lvl>
  </w:abstractNum>
  <w:abstractNum w:abstractNumId="24" w15:restartNumberingAfterBreak="0">
    <w:nsid w:val="7C230D17"/>
    <w:multiLevelType w:val="multilevel"/>
    <w:tmpl w:val="9E7A3A6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5" w15:restartNumberingAfterBreak="0">
    <w:nsid w:val="7F7863D7"/>
    <w:multiLevelType w:val="multilevel"/>
    <w:tmpl w:val="D3782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70827600">
    <w:abstractNumId w:val="19"/>
  </w:num>
  <w:num w:numId="2" w16cid:durableId="757874390">
    <w:abstractNumId w:val="10"/>
  </w:num>
  <w:num w:numId="3" w16cid:durableId="728651703">
    <w:abstractNumId w:val="0"/>
  </w:num>
  <w:num w:numId="4" w16cid:durableId="1162507525">
    <w:abstractNumId w:val="17"/>
  </w:num>
  <w:num w:numId="5" w16cid:durableId="1862434306">
    <w:abstractNumId w:val="22"/>
  </w:num>
  <w:num w:numId="6" w16cid:durableId="1499347739">
    <w:abstractNumId w:val="18"/>
  </w:num>
  <w:num w:numId="7" w16cid:durableId="148987323">
    <w:abstractNumId w:val="5"/>
  </w:num>
  <w:num w:numId="8" w16cid:durableId="1493445825">
    <w:abstractNumId w:val="12"/>
  </w:num>
  <w:num w:numId="9" w16cid:durableId="1757241093">
    <w:abstractNumId w:val="23"/>
  </w:num>
  <w:num w:numId="10" w16cid:durableId="1312829463">
    <w:abstractNumId w:val="14"/>
  </w:num>
  <w:num w:numId="11" w16cid:durableId="97333976">
    <w:abstractNumId w:val="24"/>
  </w:num>
  <w:num w:numId="12" w16cid:durableId="1352799259">
    <w:abstractNumId w:val="1"/>
  </w:num>
  <w:num w:numId="13" w16cid:durableId="1456410986">
    <w:abstractNumId w:val="3"/>
  </w:num>
  <w:num w:numId="14" w16cid:durableId="1199925988">
    <w:abstractNumId w:val="11"/>
  </w:num>
  <w:num w:numId="15" w16cid:durableId="1363558819">
    <w:abstractNumId w:val="2"/>
  </w:num>
  <w:num w:numId="16" w16cid:durableId="550196230">
    <w:abstractNumId w:val="20"/>
  </w:num>
  <w:num w:numId="17" w16cid:durableId="1620793055">
    <w:abstractNumId w:val="9"/>
  </w:num>
  <w:num w:numId="18" w16cid:durableId="518857738">
    <w:abstractNumId w:val="13"/>
  </w:num>
  <w:num w:numId="19" w16cid:durableId="466700496">
    <w:abstractNumId w:val="16"/>
  </w:num>
  <w:num w:numId="20" w16cid:durableId="2050521704">
    <w:abstractNumId w:val="6"/>
  </w:num>
  <w:num w:numId="21" w16cid:durableId="2063946446">
    <w:abstractNumId w:val="7"/>
  </w:num>
  <w:num w:numId="22" w16cid:durableId="1554195289">
    <w:abstractNumId w:val="21"/>
  </w:num>
  <w:num w:numId="23" w16cid:durableId="1632128876">
    <w:abstractNumId w:val="25"/>
  </w:num>
  <w:num w:numId="24" w16cid:durableId="1765226544">
    <w:abstractNumId w:val="8"/>
  </w:num>
  <w:num w:numId="25" w16cid:durableId="186068297">
    <w:abstractNumId w:val="15"/>
  </w:num>
  <w:num w:numId="26" w16cid:durableId="1636565765">
    <w:abstractNumId w:val="4"/>
  </w:num>
  <w:num w:numId="27" w16cid:durableId="753969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356330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645371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12628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740843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660744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330709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47601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22584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170709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427917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75578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7DC"/>
    <w:rsid w:val="001858D5"/>
    <w:rsid w:val="001E306A"/>
    <w:rsid w:val="00291CEC"/>
    <w:rsid w:val="00415A4E"/>
    <w:rsid w:val="005D5FA5"/>
    <w:rsid w:val="007F37F9"/>
    <w:rsid w:val="008007EF"/>
    <w:rsid w:val="00905600"/>
    <w:rsid w:val="00912E48"/>
    <w:rsid w:val="00B624C1"/>
    <w:rsid w:val="00B647DC"/>
    <w:rsid w:val="00DC026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1867F"/>
  <w15:docId w15:val="{A7D9F5D9-8E4E-4BCC-B8B3-43AB117D5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l" w:eastAsia="nl-B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306A"/>
  </w:style>
  <w:style w:type="paragraph" w:styleId="Heading1">
    <w:name w:val="heading 1"/>
    <w:basedOn w:val="Normal"/>
    <w:next w:val="Text1"/>
    <w:link w:val="Heading1Char"/>
    <w:uiPriority w:val="9"/>
    <w:qFormat/>
    <w:rsid w:val="00D45A17"/>
    <w:pPr>
      <w:keepNext/>
      <w:numPr>
        <w:numId w:val="26"/>
      </w:numPr>
      <w:spacing w:before="360" w:after="120" w:line="240" w:lineRule="auto"/>
      <w:jc w:val="both"/>
      <w:outlineLvl w:val="0"/>
    </w:pPr>
    <w:rPr>
      <w:rFonts w:ascii="Times New Roman" w:eastAsiaTheme="majorEastAsia" w:hAnsi="Times New Roman" w:cs="Times New Roman"/>
      <w:b/>
      <w:bCs/>
      <w:smallCaps/>
      <w:sz w:val="24"/>
      <w:szCs w:val="28"/>
    </w:rPr>
  </w:style>
  <w:style w:type="paragraph" w:styleId="Heading2">
    <w:name w:val="heading 2"/>
    <w:basedOn w:val="Normal"/>
    <w:next w:val="Text1"/>
    <w:link w:val="Heading2Char"/>
    <w:uiPriority w:val="9"/>
    <w:semiHidden/>
    <w:unhideWhenUsed/>
    <w:qFormat/>
    <w:rsid w:val="00D45A17"/>
    <w:pPr>
      <w:keepNext/>
      <w:numPr>
        <w:ilvl w:val="1"/>
        <w:numId w:val="26"/>
      </w:numPr>
      <w:spacing w:before="120" w:after="120" w:line="240" w:lineRule="auto"/>
      <w:jc w:val="both"/>
      <w:outlineLvl w:val="1"/>
    </w:pPr>
    <w:rPr>
      <w:rFonts w:ascii="Times New Roman" w:eastAsiaTheme="majorEastAsia" w:hAnsi="Times New Roman" w:cs="Times New Roman"/>
      <w:b/>
      <w:bCs/>
      <w:sz w:val="24"/>
      <w:szCs w:val="26"/>
    </w:rPr>
  </w:style>
  <w:style w:type="paragraph" w:styleId="Heading3">
    <w:name w:val="heading 3"/>
    <w:basedOn w:val="Normal"/>
    <w:next w:val="Text1"/>
    <w:link w:val="Heading3Char"/>
    <w:uiPriority w:val="9"/>
    <w:semiHidden/>
    <w:unhideWhenUsed/>
    <w:qFormat/>
    <w:rsid w:val="00D45A17"/>
    <w:pPr>
      <w:keepNext/>
      <w:numPr>
        <w:ilvl w:val="2"/>
        <w:numId w:val="26"/>
      </w:numPr>
      <w:spacing w:before="120" w:after="120" w:line="240" w:lineRule="auto"/>
      <w:jc w:val="both"/>
      <w:outlineLvl w:val="2"/>
    </w:pPr>
    <w:rPr>
      <w:rFonts w:ascii="Times New Roman" w:eastAsiaTheme="majorEastAsia" w:hAnsi="Times New Roman" w:cs="Times New Roman"/>
      <w:bCs/>
      <w:i/>
      <w:sz w:val="24"/>
    </w:rPr>
  </w:style>
  <w:style w:type="paragraph" w:styleId="Heading4">
    <w:name w:val="heading 4"/>
    <w:basedOn w:val="Normal"/>
    <w:next w:val="Text1"/>
    <w:link w:val="Heading4Char"/>
    <w:uiPriority w:val="9"/>
    <w:semiHidden/>
    <w:unhideWhenUsed/>
    <w:qFormat/>
    <w:rsid w:val="00D45A17"/>
    <w:pPr>
      <w:keepNext/>
      <w:numPr>
        <w:ilvl w:val="3"/>
        <w:numId w:val="26"/>
      </w:numPr>
      <w:spacing w:before="120" w:after="120" w:line="240" w:lineRule="auto"/>
      <w:jc w:val="both"/>
      <w:outlineLvl w:val="3"/>
    </w:pPr>
    <w:rPr>
      <w:rFonts w:ascii="Times New Roman" w:eastAsiaTheme="majorEastAsia" w:hAnsi="Times New Roman" w:cs="Times New Roman"/>
      <w:bCs/>
      <w:iCs/>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Marker">
    <w:name w:val="Marker"/>
    <w:basedOn w:val="DefaultParagraphFont"/>
    <w:rsid w:val="00D45A17"/>
    <w:rPr>
      <w:color w:val="0000FF"/>
      <w:shd w:val="clear" w:color="auto" w:fill="auto"/>
    </w:rPr>
  </w:style>
  <w:style w:type="paragraph" w:customStyle="1" w:styleId="Pagedecouverture">
    <w:name w:val="Page de couverture"/>
    <w:basedOn w:val="Normal"/>
    <w:next w:val="Normal"/>
    <w:rsid w:val="00D45A17"/>
    <w:pPr>
      <w:spacing w:after="0" w:line="240" w:lineRule="auto"/>
      <w:jc w:val="both"/>
    </w:pPr>
    <w:rPr>
      <w:rFonts w:ascii="Times New Roman" w:hAnsi="Times New Roman" w:cs="Times New Roman"/>
      <w:sz w:val="24"/>
    </w:rPr>
  </w:style>
  <w:style w:type="paragraph" w:styleId="Header">
    <w:name w:val="header"/>
    <w:basedOn w:val="Normal"/>
    <w:link w:val="HeaderChar"/>
    <w:uiPriority w:val="99"/>
    <w:unhideWhenUsed/>
    <w:rsid w:val="00D45A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D45A17"/>
  </w:style>
  <w:style w:type="paragraph" w:styleId="Footer">
    <w:name w:val="footer"/>
    <w:basedOn w:val="Normal"/>
    <w:link w:val="FooterChar"/>
    <w:uiPriority w:val="99"/>
    <w:unhideWhenUsed/>
    <w:rsid w:val="00D45A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D45A17"/>
  </w:style>
  <w:style w:type="paragraph" w:customStyle="1" w:styleId="FooterCoverPage">
    <w:name w:val="Footer Cover Page"/>
    <w:basedOn w:val="Normal"/>
    <w:link w:val="FooterCoverPageChar"/>
    <w:rsid w:val="00D45A17"/>
    <w:pPr>
      <w:tabs>
        <w:tab w:val="center" w:pos="4535"/>
        <w:tab w:val="right" w:pos="9071"/>
        <w:tab w:val="right" w:pos="9921"/>
      </w:tabs>
      <w:spacing w:before="360" w:after="0" w:line="240" w:lineRule="auto"/>
      <w:ind w:left="-850" w:right="-850"/>
    </w:pPr>
    <w:rPr>
      <w:rFonts w:ascii="Times New Roman" w:hAnsi="Times New Roman" w:cs="Times New Roman"/>
      <w:sz w:val="24"/>
    </w:rPr>
  </w:style>
  <w:style w:type="character" w:customStyle="1" w:styleId="FooterCoverPageChar">
    <w:name w:val="Footer Cover Page Char"/>
    <w:basedOn w:val="DefaultParagraphFont"/>
    <w:link w:val="FooterCoverPage"/>
    <w:rsid w:val="00D45A17"/>
    <w:rPr>
      <w:rFonts w:ascii="Times New Roman" w:hAnsi="Times New Roman" w:cs="Times New Roman"/>
      <w:sz w:val="24"/>
    </w:rPr>
  </w:style>
  <w:style w:type="paragraph" w:customStyle="1" w:styleId="FooterSensitivity">
    <w:name w:val="Footer Sensitivity"/>
    <w:basedOn w:val="Normal"/>
    <w:link w:val="FooterSensitivityChar"/>
    <w:rsid w:val="00D45A17"/>
    <w:pPr>
      <w:pBdr>
        <w:top w:val="single" w:sz="4" w:space="1" w:color="auto"/>
        <w:left w:val="single" w:sz="4" w:space="4" w:color="auto"/>
        <w:bottom w:val="single" w:sz="4" w:space="1" w:color="auto"/>
        <w:right w:val="single" w:sz="4" w:space="4" w:color="auto"/>
      </w:pBdr>
      <w:spacing w:before="360" w:after="0" w:line="240" w:lineRule="auto"/>
      <w:ind w:left="113" w:right="113"/>
      <w:jc w:val="center"/>
    </w:pPr>
    <w:rPr>
      <w:rFonts w:ascii="Times New Roman" w:hAnsi="Times New Roman" w:cs="Times New Roman"/>
      <w:b/>
      <w:sz w:val="32"/>
    </w:rPr>
  </w:style>
  <w:style w:type="character" w:customStyle="1" w:styleId="FooterSensitivityChar">
    <w:name w:val="Footer Sensitivity Char"/>
    <w:basedOn w:val="DefaultParagraphFont"/>
    <w:link w:val="FooterSensitivity"/>
    <w:rsid w:val="00D45A17"/>
    <w:rPr>
      <w:rFonts w:ascii="Times New Roman" w:hAnsi="Times New Roman" w:cs="Times New Roman"/>
      <w:b/>
      <w:sz w:val="32"/>
    </w:rPr>
  </w:style>
  <w:style w:type="paragraph" w:customStyle="1" w:styleId="HeaderCoverPage">
    <w:name w:val="Header Cover Page"/>
    <w:basedOn w:val="Normal"/>
    <w:link w:val="HeaderCoverPageChar"/>
    <w:rsid w:val="00D45A17"/>
    <w:pPr>
      <w:tabs>
        <w:tab w:val="center" w:pos="4535"/>
        <w:tab w:val="right" w:pos="9071"/>
      </w:tabs>
      <w:spacing w:after="120" w:line="240" w:lineRule="auto"/>
      <w:jc w:val="both"/>
    </w:pPr>
    <w:rPr>
      <w:rFonts w:ascii="Times New Roman" w:hAnsi="Times New Roman" w:cs="Times New Roman"/>
      <w:sz w:val="24"/>
    </w:rPr>
  </w:style>
  <w:style w:type="character" w:customStyle="1" w:styleId="HeaderCoverPageChar">
    <w:name w:val="Header Cover Page Char"/>
    <w:basedOn w:val="DefaultParagraphFont"/>
    <w:link w:val="HeaderCoverPage"/>
    <w:rsid w:val="00D45A17"/>
    <w:rPr>
      <w:rFonts w:ascii="Times New Roman" w:hAnsi="Times New Roman" w:cs="Times New Roman"/>
      <w:sz w:val="24"/>
    </w:rPr>
  </w:style>
  <w:style w:type="paragraph" w:customStyle="1" w:styleId="HeaderSensitivity">
    <w:name w:val="Header Sensitivity"/>
    <w:basedOn w:val="Normal"/>
    <w:link w:val="HeaderSensitivityChar"/>
    <w:rsid w:val="00D45A17"/>
    <w:pPr>
      <w:pBdr>
        <w:top w:val="single" w:sz="4" w:space="1" w:color="auto"/>
        <w:left w:val="single" w:sz="4" w:space="4" w:color="auto"/>
        <w:bottom w:val="single" w:sz="4" w:space="1" w:color="auto"/>
        <w:right w:val="single" w:sz="4" w:space="4" w:color="auto"/>
      </w:pBdr>
      <w:spacing w:after="120" w:line="240" w:lineRule="auto"/>
      <w:ind w:left="113" w:right="113"/>
      <w:jc w:val="center"/>
    </w:pPr>
    <w:rPr>
      <w:rFonts w:ascii="Times New Roman" w:hAnsi="Times New Roman" w:cs="Times New Roman"/>
      <w:b/>
      <w:sz w:val="32"/>
    </w:rPr>
  </w:style>
  <w:style w:type="character" w:customStyle="1" w:styleId="HeaderSensitivityChar">
    <w:name w:val="Header Sensitivity Char"/>
    <w:basedOn w:val="DefaultParagraphFont"/>
    <w:link w:val="HeaderSensitivity"/>
    <w:rsid w:val="00D45A17"/>
    <w:rPr>
      <w:rFonts w:ascii="Times New Roman" w:hAnsi="Times New Roman" w:cs="Times New Roman"/>
      <w:b/>
      <w:sz w:val="32"/>
    </w:rPr>
  </w:style>
  <w:style w:type="paragraph" w:customStyle="1" w:styleId="HeaderSensitivityRight">
    <w:name w:val="Header Sensitivity Right"/>
    <w:basedOn w:val="Normal"/>
    <w:link w:val="HeaderSensitivityRightChar"/>
    <w:rsid w:val="00525BBE"/>
    <w:pPr>
      <w:spacing w:after="120" w:line="240" w:lineRule="auto"/>
      <w:jc w:val="right"/>
    </w:pPr>
    <w:rPr>
      <w:rFonts w:ascii="Times New Roman" w:hAnsi="Times New Roman" w:cs="Times New Roman"/>
      <w:sz w:val="28"/>
    </w:rPr>
  </w:style>
  <w:style w:type="character" w:customStyle="1" w:styleId="HeaderSensitivityRightChar">
    <w:name w:val="Header Sensitivity Right Char"/>
    <w:basedOn w:val="DefaultParagraphFont"/>
    <w:link w:val="HeaderSensitivityRight"/>
    <w:rsid w:val="00D45A17"/>
    <w:rPr>
      <w:rFonts w:ascii="Times New Roman" w:hAnsi="Times New Roman" w:cs="Times New Roman"/>
      <w:sz w:val="28"/>
    </w:rPr>
  </w:style>
  <w:style w:type="character" w:customStyle="1" w:styleId="Heading1Char">
    <w:name w:val="Heading 1 Char"/>
    <w:basedOn w:val="DefaultParagraphFont"/>
    <w:link w:val="Heading1"/>
    <w:uiPriority w:val="9"/>
    <w:rsid w:val="00D45A17"/>
    <w:rPr>
      <w:rFonts w:ascii="Times New Roman" w:eastAsiaTheme="majorEastAsia" w:hAnsi="Times New Roman" w:cs="Times New Roman"/>
      <w:b/>
      <w:bCs/>
      <w:smallCaps/>
      <w:sz w:val="24"/>
      <w:szCs w:val="28"/>
    </w:rPr>
  </w:style>
  <w:style w:type="character" w:customStyle="1" w:styleId="Heading2Char">
    <w:name w:val="Heading 2 Char"/>
    <w:basedOn w:val="DefaultParagraphFont"/>
    <w:link w:val="Heading2"/>
    <w:uiPriority w:val="9"/>
    <w:semiHidden/>
    <w:rsid w:val="00D45A17"/>
    <w:rPr>
      <w:rFonts w:ascii="Times New Roman" w:eastAsiaTheme="majorEastAsia" w:hAnsi="Times New Roman" w:cs="Times New Roman"/>
      <w:b/>
      <w:bCs/>
      <w:sz w:val="24"/>
      <w:szCs w:val="26"/>
    </w:rPr>
  </w:style>
  <w:style w:type="character" w:customStyle="1" w:styleId="Heading3Char">
    <w:name w:val="Heading 3 Char"/>
    <w:basedOn w:val="DefaultParagraphFont"/>
    <w:link w:val="Heading3"/>
    <w:uiPriority w:val="9"/>
    <w:semiHidden/>
    <w:rsid w:val="00D45A17"/>
    <w:rPr>
      <w:rFonts w:ascii="Times New Roman" w:eastAsiaTheme="majorEastAsia" w:hAnsi="Times New Roman" w:cs="Times New Roman"/>
      <w:bCs/>
      <w:i/>
      <w:sz w:val="24"/>
    </w:rPr>
  </w:style>
  <w:style w:type="character" w:customStyle="1" w:styleId="Heading4Char">
    <w:name w:val="Heading 4 Char"/>
    <w:basedOn w:val="DefaultParagraphFont"/>
    <w:link w:val="Heading4"/>
    <w:uiPriority w:val="9"/>
    <w:semiHidden/>
    <w:rsid w:val="00D45A17"/>
    <w:rPr>
      <w:rFonts w:ascii="Times New Roman" w:eastAsiaTheme="majorEastAsia" w:hAnsi="Times New Roman" w:cs="Times New Roman"/>
      <w:bCs/>
      <w:iCs/>
      <w:sz w:val="24"/>
    </w:rPr>
  </w:style>
  <w:style w:type="numbering" w:customStyle="1" w:styleId="NoList1">
    <w:name w:val="No List1"/>
    <w:next w:val="NoList"/>
    <w:uiPriority w:val="99"/>
    <w:semiHidden/>
    <w:unhideWhenUsed/>
    <w:rsid w:val="00D45A17"/>
  </w:style>
  <w:style w:type="character" w:styleId="CommentReference">
    <w:name w:val="annotation reference"/>
    <w:basedOn w:val="DefaultParagraphFont"/>
    <w:uiPriority w:val="99"/>
    <w:semiHidden/>
    <w:unhideWhenUsed/>
    <w:rsid w:val="00D45A17"/>
    <w:rPr>
      <w:sz w:val="16"/>
      <w:szCs w:val="16"/>
    </w:rPr>
  </w:style>
  <w:style w:type="paragraph" w:styleId="CommentText">
    <w:name w:val="annotation text"/>
    <w:basedOn w:val="Normal"/>
    <w:link w:val="CommentTextChar"/>
    <w:uiPriority w:val="99"/>
    <w:unhideWhenUsed/>
    <w:rsid w:val="00D45A17"/>
    <w:pPr>
      <w:spacing w:before="120" w:after="12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rsid w:val="00D45A17"/>
    <w:rPr>
      <w:rFonts w:ascii="Times New Roman" w:hAnsi="Times New Roman" w:cs="Times New Roman"/>
      <w:sz w:val="20"/>
      <w:szCs w:val="20"/>
    </w:rPr>
  </w:style>
  <w:style w:type="paragraph" w:styleId="BalloonText">
    <w:name w:val="Balloon Text"/>
    <w:basedOn w:val="Normal"/>
    <w:link w:val="BalloonTextChar"/>
    <w:uiPriority w:val="99"/>
    <w:semiHidden/>
    <w:unhideWhenUsed/>
    <w:rsid w:val="00D45A17"/>
    <w:pPr>
      <w:spacing w:after="0" w:line="240" w:lineRule="auto"/>
      <w:jc w:val="both"/>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5A17"/>
    <w:rPr>
      <w:rFonts w:ascii="Segoe UI" w:hAnsi="Segoe UI" w:cs="Segoe UI"/>
      <w:sz w:val="18"/>
      <w:szCs w:val="18"/>
    </w:rPr>
  </w:style>
  <w:style w:type="paragraph" w:styleId="ListBullet">
    <w:name w:val="List Bullet"/>
    <w:basedOn w:val="Normal"/>
    <w:uiPriority w:val="99"/>
    <w:semiHidden/>
    <w:unhideWhenUsed/>
    <w:rsid w:val="00D45A17"/>
    <w:pPr>
      <w:numPr>
        <w:numId w:val="1"/>
      </w:numPr>
      <w:spacing w:before="120" w:after="120" w:line="240" w:lineRule="auto"/>
      <w:contextualSpacing/>
      <w:jc w:val="both"/>
    </w:pPr>
    <w:rPr>
      <w:rFonts w:ascii="Times New Roman" w:hAnsi="Times New Roman" w:cs="Times New Roman"/>
      <w:sz w:val="24"/>
    </w:rPr>
  </w:style>
  <w:style w:type="paragraph" w:styleId="ListBullet2">
    <w:name w:val="List Bullet 2"/>
    <w:basedOn w:val="Normal"/>
    <w:uiPriority w:val="99"/>
    <w:semiHidden/>
    <w:unhideWhenUsed/>
    <w:rsid w:val="00D45A17"/>
    <w:pPr>
      <w:numPr>
        <w:numId w:val="2"/>
      </w:numPr>
      <w:spacing w:before="120" w:after="120" w:line="240" w:lineRule="auto"/>
      <w:contextualSpacing/>
      <w:jc w:val="both"/>
    </w:pPr>
    <w:rPr>
      <w:rFonts w:ascii="Times New Roman" w:hAnsi="Times New Roman" w:cs="Times New Roman"/>
      <w:sz w:val="24"/>
    </w:rPr>
  </w:style>
  <w:style w:type="paragraph" w:styleId="ListBullet3">
    <w:name w:val="List Bullet 3"/>
    <w:basedOn w:val="Normal"/>
    <w:uiPriority w:val="99"/>
    <w:semiHidden/>
    <w:unhideWhenUsed/>
    <w:rsid w:val="00D45A17"/>
    <w:pPr>
      <w:numPr>
        <w:numId w:val="3"/>
      </w:numPr>
      <w:spacing w:before="120" w:after="120" w:line="240" w:lineRule="auto"/>
      <w:contextualSpacing/>
      <w:jc w:val="both"/>
    </w:pPr>
    <w:rPr>
      <w:rFonts w:ascii="Times New Roman" w:hAnsi="Times New Roman" w:cs="Times New Roman"/>
      <w:sz w:val="24"/>
    </w:rPr>
  </w:style>
  <w:style w:type="paragraph" w:styleId="ListBullet4">
    <w:name w:val="List Bullet 4"/>
    <w:basedOn w:val="Normal"/>
    <w:uiPriority w:val="99"/>
    <w:semiHidden/>
    <w:unhideWhenUsed/>
    <w:rsid w:val="00D45A17"/>
    <w:pPr>
      <w:numPr>
        <w:numId w:val="4"/>
      </w:numPr>
      <w:spacing w:before="120" w:after="120" w:line="240" w:lineRule="auto"/>
      <w:contextualSpacing/>
      <w:jc w:val="both"/>
    </w:pPr>
    <w:rPr>
      <w:rFonts w:ascii="Times New Roman" w:hAnsi="Times New Roman" w:cs="Times New Roman"/>
      <w:sz w:val="24"/>
    </w:rPr>
  </w:style>
  <w:style w:type="paragraph" w:styleId="ListParagraph">
    <w:name w:val="List Paragraph"/>
    <w:basedOn w:val="Normal"/>
    <w:uiPriority w:val="34"/>
    <w:qFormat/>
    <w:rsid w:val="00D45A17"/>
    <w:pPr>
      <w:spacing w:after="160" w:line="259" w:lineRule="auto"/>
      <w:ind w:left="720"/>
      <w:contextualSpacing/>
    </w:pPr>
  </w:style>
  <w:style w:type="table" w:styleId="TableGrid">
    <w:name w:val="Table Grid"/>
    <w:basedOn w:val="TableNormal"/>
    <w:uiPriority w:val="39"/>
    <w:rsid w:val="00D45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45A17"/>
    <w:rPr>
      <w:b/>
      <w:bCs/>
    </w:rPr>
  </w:style>
  <w:style w:type="character" w:customStyle="1" w:styleId="CommentSubjectChar">
    <w:name w:val="Comment Subject Char"/>
    <w:basedOn w:val="CommentTextChar"/>
    <w:link w:val="CommentSubject"/>
    <w:uiPriority w:val="99"/>
    <w:semiHidden/>
    <w:rsid w:val="00D45A17"/>
    <w:rPr>
      <w:rFonts w:ascii="Times New Roman" w:hAnsi="Times New Roman" w:cs="Times New Roman"/>
      <w:b/>
      <w:bCs/>
      <w:sz w:val="20"/>
      <w:szCs w:val="20"/>
    </w:rPr>
  </w:style>
  <w:style w:type="paragraph" w:customStyle="1" w:styleId="Titreobjet">
    <w:name w:val="Titre objet"/>
    <w:basedOn w:val="Normal"/>
    <w:next w:val="IntrtEEE"/>
    <w:rsid w:val="00D45A17"/>
    <w:pPr>
      <w:spacing w:before="360" w:after="360" w:line="240" w:lineRule="auto"/>
      <w:jc w:val="center"/>
    </w:pPr>
    <w:rPr>
      <w:rFonts w:ascii="Times New Roman" w:hAnsi="Times New Roman" w:cs="Times New Roman"/>
      <w:b/>
      <w:sz w:val="24"/>
    </w:rPr>
  </w:style>
  <w:style w:type="paragraph" w:customStyle="1" w:styleId="TitreobjetPagedecouverture">
    <w:name w:val="Titre objet (Page de couverture)"/>
    <w:basedOn w:val="Titreobjet"/>
    <w:next w:val="IntrtEEEPagedecouverture"/>
    <w:rsid w:val="00D45A17"/>
  </w:style>
  <w:style w:type="paragraph" w:styleId="Caption">
    <w:name w:val="caption"/>
    <w:basedOn w:val="Normal"/>
    <w:next w:val="Normal"/>
    <w:uiPriority w:val="35"/>
    <w:semiHidden/>
    <w:unhideWhenUsed/>
    <w:qFormat/>
    <w:rsid w:val="00D45A17"/>
    <w:pPr>
      <w:spacing w:line="240" w:lineRule="auto"/>
      <w:jc w:val="both"/>
    </w:pPr>
    <w:rPr>
      <w:rFonts w:ascii="Times New Roman" w:hAnsi="Times New Roman" w:cs="Times New Roman"/>
      <w:i/>
      <w:iCs/>
      <w:color w:val="1F497D" w:themeColor="text2"/>
      <w:sz w:val="18"/>
      <w:szCs w:val="18"/>
    </w:rPr>
  </w:style>
  <w:style w:type="paragraph" w:styleId="TableofFigures">
    <w:name w:val="table of figures"/>
    <w:basedOn w:val="Normal"/>
    <w:next w:val="Normal"/>
    <w:uiPriority w:val="99"/>
    <w:semiHidden/>
    <w:unhideWhenUsed/>
    <w:rsid w:val="00D45A17"/>
    <w:pPr>
      <w:spacing w:before="120" w:after="0" w:line="240" w:lineRule="auto"/>
      <w:jc w:val="both"/>
    </w:pPr>
    <w:rPr>
      <w:rFonts w:ascii="Times New Roman" w:hAnsi="Times New Roman" w:cs="Times New Roman"/>
      <w:sz w:val="24"/>
    </w:rPr>
  </w:style>
  <w:style w:type="paragraph" w:styleId="ListNumber">
    <w:name w:val="List Number"/>
    <w:basedOn w:val="Normal"/>
    <w:uiPriority w:val="99"/>
    <w:semiHidden/>
    <w:unhideWhenUsed/>
    <w:rsid w:val="00D45A17"/>
    <w:pPr>
      <w:numPr>
        <w:numId w:val="5"/>
      </w:numPr>
      <w:spacing w:before="120" w:after="120" w:line="240" w:lineRule="auto"/>
      <w:contextualSpacing/>
      <w:jc w:val="both"/>
    </w:pPr>
    <w:rPr>
      <w:rFonts w:ascii="Times New Roman" w:hAnsi="Times New Roman" w:cs="Times New Roman"/>
      <w:sz w:val="24"/>
    </w:rPr>
  </w:style>
  <w:style w:type="paragraph" w:styleId="ListNumber2">
    <w:name w:val="List Number 2"/>
    <w:basedOn w:val="Normal"/>
    <w:uiPriority w:val="99"/>
    <w:semiHidden/>
    <w:unhideWhenUsed/>
    <w:rsid w:val="00D45A17"/>
    <w:pPr>
      <w:numPr>
        <w:numId w:val="6"/>
      </w:numPr>
      <w:spacing w:before="120" w:after="120" w:line="240" w:lineRule="auto"/>
      <w:contextualSpacing/>
      <w:jc w:val="both"/>
    </w:pPr>
    <w:rPr>
      <w:rFonts w:ascii="Times New Roman" w:hAnsi="Times New Roman" w:cs="Times New Roman"/>
      <w:sz w:val="24"/>
    </w:rPr>
  </w:style>
  <w:style w:type="paragraph" w:styleId="ListNumber3">
    <w:name w:val="List Number 3"/>
    <w:basedOn w:val="Normal"/>
    <w:uiPriority w:val="99"/>
    <w:semiHidden/>
    <w:unhideWhenUsed/>
    <w:rsid w:val="00D45A17"/>
    <w:pPr>
      <w:numPr>
        <w:numId w:val="7"/>
      </w:numPr>
      <w:spacing w:before="120" w:after="120" w:line="240" w:lineRule="auto"/>
      <w:contextualSpacing/>
      <w:jc w:val="both"/>
    </w:pPr>
    <w:rPr>
      <w:rFonts w:ascii="Times New Roman" w:hAnsi="Times New Roman" w:cs="Times New Roman"/>
      <w:sz w:val="24"/>
    </w:rPr>
  </w:style>
  <w:style w:type="paragraph" w:styleId="ListNumber4">
    <w:name w:val="List Number 4"/>
    <w:basedOn w:val="Normal"/>
    <w:uiPriority w:val="99"/>
    <w:semiHidden/>
    <w:unhideWhenUsed/>
    <w:rsid w:val="00D45A17"/>
    <w:pPr>
      <w:numPr>
        <w:numId w:val="8"/>
      </w:numPr>
      <w:spacing w:before="120" w:after="120" w:line="240" w:lineRule="auto"/>
      <w:contextualSpacing/>
      <w:jc w:val="both"/>
    </w:pPr>
    <w:rPr>
      <w:rFonts w:ascii="Times New Roman" w:hAnsi="Times New Roman" w:cs="Times New Roman"/>
      <w:sz w:val="24"/>
    </w:rPr>
  </w:style>
  <w:style w:type="character" w:styleId="Hyperlink">
    <w:name w:val="Hyperlink"/>
    <w:basedOn w:val="DefaultParagraphFont"/>
    <w:uiPriority w:val="99"/>
    <w:unhideWhenUsed/>
    <w:rsid w:val="00D45A17"/>
    <w:rPr>
      <w:color w:val="0000FF" w:themeColor="hyperlink"/>
      <w:u w:val="single"/>
    </w:rPr>
  </w:style>
  <w:style w:type="paragraph" w:customStyle="1" w:styleId="Normal1">
    <w:name w:val="Normal1"/>
    <w:basedOn w:val="Normal"/>
    <w:rsid w:val="00D45A1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D45A17"/>
    <w:rPr>
      <w:i/>
      <w:iCs/>
    </w:rPr>
  </w:style>
  <w:style w:type="paragraph" w:styleId="FootnoteText">
    <w:name w:val="footnote text"/>
    <w:basedOn w:val="Normal"/>
    <w:link w:val="FootnoteTextChar"/>
    <w:uiPriority w:val="99"/>
    <w:semiHidden/>
    <w:unhideWhenUsed/>
    <w:rsid w:val="00D45A17"/>
    <w:pPr>
      <w:spacing w:after="0" w:line="240" w:lineRule="auto"/>
      <w:ind w:left="720" w:hanging="720"/>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D45A17"/>
    <w:rPr>
      <w:rFonts w:ascii="Times New Roman" w:hAnsi="Times New Roman" w:cs="Times New Roman"/>
      <w:sz w:val="20"/>
      <w:szCs w:val="20"/>
    </w:rPr>
  </w:style>
  <w:style w:type="paragraph" w:styleId="TOCHeading">
    <w:name w:val="TOC Heading"/>
    <w:basedOn w:val="Normal"/>
    <w:next w:val="Normal"/>
    <w:uiPriority w:val="39"/>
    <w:semiHidden/>
    <w:unhideWhenUsed/>
    <w:qFormat/>
    <w:rsid w:val="00D45A17"/>
    <w:pPr>
      <w:spacing w:before="120" w:after="240" w:line="240" w:lineRule="auto"/>
      <w:jc w:val="center"/>
    </w:pPr>
    <w:rPr>
      <w:rFonts w:ascii="Times New Roman" w:hAnsi="Times New Roman" w:cs="Times New Roman"/>
      <w:b/>
      <w:sz w:val="28"/>
    </w:rPr>
  </w:style>
  <w:style w:type="paragraph" w:styleId="TOC1">
    <w:name w:val="toc 1"/>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2">
    <w:name w:val="toc 2"/>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3">
    <w:name w:val="toc 3"/>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4">
    <w:name w:val="toc 4"/>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5">
    <w:name w:val="toc 5"/>
    <w:basedOn w:val="Normal"/>
    <w:next w:val="Normal"/>
    <w:uiPriority w:val="39"/>
    <w:semiHidden/>
    <w:unhideWhenUsed/>
    <w:rsid w:val="00D45A17"/>
    <w:pPr>
      <w:tabs>
        <w:tab w:val="right" w:leader="dot" w:pos="9071"/>
      </w:tabs>
      <w:spacing w:before="300" w:after="120" w:line="240" w:lineRule="auto"/>
    </w:pPr>
    <w:rPr>
      <w:rFonts w:ascii="Times New Roman" w:hAnsi="Times New Roman" w:cs="Times New Roman"/>
      <w:sz w:val="24"/>
    </w:rPr>
  </w:style>
  <w:style w:type="paragraph" w:styleId="TOC6">
    <w:name w:val="toc 6"/>
    <w:basedOn w:val="Normal"/>
    <w:next w:val="Normal"/>
    <w:uiPriority w:val="39"/>
    <w:semiHidden/>
    <w:unhideWhenUsed/>
    <w:rsid w:val="00D45A17"/>
    <w:pPr>
      <w:tabs>
        <w:tab w:val="right" w:leader="dot" w:pos="9071"/>
      </w:tabs>
      <w:spacing w:before="240" w:after="120" w:line="240" w:lineRule="auto"/>
    </w:pPr>
    <w:rPr>
      <w:rFonts w:ascii="Times New Roman" w:hAnsi="Times New Roman" w:cs="Times New Roman"/>
      <w:sz w:val="24"/>
    </w:rPr>
  </w:style>
  <w:style w:type="paragraph" w:styleId="TOC7">
    <w:name w:val="toc 7"/>
    <w:basedOn w:val="Normal"/>
    <w:next w:val="Normal"/>
    <w:uiPriority w:val="39"/>
    <w:semiHidden/>
    <w:unhideWhenUsed/>
    <w:rsid w:val="00D45A17"/>
    <w:pPr>
      <w:tabs>
        <w:tab w:val="right" w:leader="dot" w:pos="9071"/>
      </w:tabs>
      <w:spacing w:before="180" w:after="120" w:line="240" w:lineRule="auto"/>
    </w:pPr>
    <w:rPr>
      <w:rFonts w:ascii="Times New Roman" w:hAnsi="Times New Roman" w:cs="Times New Roman"/>
      <w:sz w:val="24"/>
    </w:rPr>
  </w:style>
  <w:style w:type="paragraph" w:styleId="TOC8">
    <w:name w:val="toc 8"/>
    <w:basedOn w:val="Normal"/>
    <w:next w:val="Normal"/>
    <w:uiPriority w:val="39"/>
    <w:semiHidden/>
    <w:unhideWhenUsed/>
    <w:rsid w:val="00D45A17"/>
    <w:pPr>
      <w:tabs>
        <w:tab w:val="right" w:leader="dot" w:pos="9071"/>
      </w:tabs>
      <w:spacing w:before="120" w:after="120" w:line="240" w:lineRule="auto"/>
    </w:pPr>
    <w:rPr>
      <w:rFonts w:ascii="Times New Roman" w:hAnsi="Times New Roman" w:cs="Times New Roman"/>
      <w:sz w:val="24"/>
    </w:rPr>
  </w:style>
  <w:style w:type="paragraph" w:styleId="TOC9">
    <w:name w:val="toc 9"/>
    <w:basedOn w:val="Normal"/>
    <w:next w:val="Normal"/>
    <w:uiPriority w:val="39"/>
    <w:semiHidden/>
    <w:unhideWhenUsed/>
    <w:rsid w:val="00D45A17"/>
    <w:pPr>
      <w:tabs>
        <w:tab w:val="right" w:leader="dot" w:pos="9071"/>
      </w:tabs>
      <w:spacing w:before="120" w:after="120" w:line="240" w:lineRule="auto"/>
      <w:jc w:val="both"/>
    </w:pPr>
    <w:rPr>
      <w:rFonts w:ascii="Times New Roman" w:hAnsi="Times New Roman" w:cs="Times New Roman"/>
      <w:sz w:val="24"/>
    </w:rPr>
  </w:style>
  <w:style w:type="paragraph" w:customStyle="1" w:styleId="HeaderLandscape">
    <w:name w:val="HeaderLandscape"/>
    <w:basedOn w:val="Normal"/>
    <w:rsid w:val="00D45A17"/>
    <w:pPr>
      <w:tabs>
        <w:tab w:val="center" w:pos="7285"/>
        <w:tab w:val="right" w:pos="14003"/>
      </w:tabs>
      <w:spacing w:after="120" w:line="240" w:lineRule="auto"/>
      <w:jc w:val="both"/>
    </w:pPr>
    <w:rPr>
      <w:rFonts w:ascii="Times New Roman" w:hAnsi="Times New Roman" w:cs="Times New Roman"/>
      <w:sz w:val="24"/>
    </w:rPr>
  </w:style>
  <w:style w:type="paragraph" w:customStyle="1" w:styleId="FooterLandscape">
    <w:name w:val="FooterLandscape"/>
    <w:basedOn w:val="Normal"/>
    <w:rsid w:val="00D45A17"/>
    <w:pPr>
      <w:tabs>
        <w:tab w:val="center" w:pos="7285"/>
        <w:tab w:val="center" w:pos="10913"/>
        <w:tab w:val="right" w:pos="15137"/>
      </w:tabs>
      <w:spacing w:before="360" w:after="0" w:line="240" w:lineRule="auto"/>
      <w:ind w:left="-567" w:right="-567"/>
    </w:pPr>
    <w:rPr>
      <w:rFonts w:ascii="Times New Roman" w:hAnsi="Times New Roman" w:cs="Times New Roman"/>
      <w:sz w:val="24"/>
    </w:rPr>
  </w:style>
  <w:style w:type="character" w:styleId="FootnoteReference">
    <w:name w:val="footnote reference"/>
    <w:basedOn w:val="DefaultParagraphFont"/>
    <w:uiPriority w:val="99"/>
    <w:semiHidden/>
    <w:unhideWhenUsed/>
    <w:rsid w:val="00D45A17"/>
    <w:rPr>
      <w:shd w:val="clear" w:color="auto" w:fill="auto"/>
      <w:vertAlign w:val="superscript"/>
    </w:rPr>
  </w:style>
  <w:style w:type="paragraph" w:customStyle="1" w:styleId="Text1">
    <w:name w:val="Text 1"/>
    <w:basedOn w:val="Normal"/>
    <w:rsid w:val="00D45A17"/>
    <w:pPr>
      <w:spacing w:before="120" w:after="120" w:line="240" w:lineRule="auto"/>
      <w:ind w:left="850"/>
      <w:jc w:val="both"/>
    </w:pPr>
    <w:rPr>
      <w:rFonts w:ascii="Times New Roman" w:hAnsi="Times New Roman" w:cs="Times New Roman"/>
      <w:sz w:val="24"/>
    </w:rPr>
  </w:style>
  <w:style w:type="paragraph" w:customStyle="1" w:styleId="Text2">
    <w:name w:val="Text 2"/>
    <w:basedOn w:val="Normal"/>
    <w:rsid w:val="00D45A17"/>
    <w:pPr>
      <w:spacing w:before="120" w:after="120" w:line="240" w:lineRule="auto"/>
      <w:ind w:left="1417"/>
      <w:jc w:val="both"/>
    </w:pPr>
    <w:rPr>
      <w:rFonts w:ascii="Times New Roman" w:hAnsi="Times New Roman" w:cs="Times New Roman"/>
      <w:sz w:val="24"/>
    </w:rPr>
  </w:style>
  <w:style w:type="paragraph" w:customStyle="1" w:styleId="Text3">
    <w:name w:val="Text 3"/>
    <w:basedOn w:val="Normal"/>
    <w:rsid w:val="00D45A17"/>
    <w:pPr>
      <w:spacing w:before="120" w:after="120" w:line="240" w:lineRule="auto"/>
      <w:ind w:left="1984"/>
      <w:jc w:val="both"/>
    </w:pPr>
    <w:rPr>
      <w:rFonts w:ascii="Times New Roman" w:hAnsi="Times New Roman" w:cs="Times New Roman"/>
      <w:sz w:val="24"/>
    </w:rPr>
  </w:style>
  <w:style w:type="paragraph" w:customStyle="1" w:styleId="Text4">
    <w:name w:val="Text 4"/>
    <w:basedOn w:val="Normal"/>
    <w:rsid w:val="00D45A17"/>
    <w:pPr>
      <w:spacing w:before="120" w:after="120" w:line="240" w:lineRule="auto"/>
      <w:ind w:left="2551"/>
      <w:jc w:val="both"/>
    </w:pPr>
    <w:rPr>
      <w:rFonts w:ascii="Times New Roman" w:hAnsi="Times New Roman" w:cs="Times New Roman"/>
      <w:sz w:val="24"/>
    </w:rPr>
  </w:style>
  <w:style w:type="paragraph" w:customStyle="1" w:styleId="NormalCentered">
    <w:name w:val="Normal Centered"/>
    <w:basedOn w:val="Normal"/>
    <w:rsid w:val="00D45A17"/>
    <w:pPr>
      <w:spacing w:before="120" w:after="120" w:line="240" w:lineRule="auto"/>
      <w:jc w:val="center"/>
    </w:pPr>
    <w:rPr>
      <w:rFonts w:ascii="Times New Roman" w:hAnsi="Times New Roman" w:cs="Times New Roman"/>
      <w:sz w:val="24"/>
    </w:rPr>
  </w:style>
  <w:style w:type="paragraph" w:customStyle="1" w:styleId="NormalLeft">
    <w:name w:val="Normal Left"/>
    <w:basedOn w:val="Normal"/>
    <w:rsid w:val="00D45A17"/>
    <w:pPr>
      <w:spacing w:before="120" w:after="120" w:line="240" w:lineRule="auto"/>
    </w:pPr>
    <w:rPr>
      <w:rFonts w:ascii="Times New Roman" w:hAnsi="Times New Roman" w:cs="Times New Roman"/>
      <w:sz w:val="24"/>
    </w:rPr>
  </w:style>
  <w:style w:type="paragraph" w:customStyle="1" w:styleId="NormalRight">
    <w:name w:val="Normal Right"/>
    <w:basedOn w:val="Normal"/>
    <w:rsid w:val="00D45A17"/>
    <w:pPr>
      <w:spacing w:before="120" w:after="120" w:line="240" w:lineRule="auto"/>
      <w:jc w:val="right"/>
    </w:pPr>
    <w:rPr>
      <w:rFonts w:ascii="Times New Roman" w:hAnsi="Times New Roman" w:cs="Times New Roman"/>
      <w:sz w:val="24"/>
    </w:rPr>
  </w:style>
  <w:style w:type="paragraph" w:customStyle="1" w:styleId="QuotedText">
    <w:name w:val="Quoted Text"/>
    <w:basedOn w:val="Normal"/>
    <w:rsid w:val="00D45A17"/>
    <w:pPr>
      <w:spacing w:before="120" w:after="120" w:line="240" w:lineRule="auto"/>
      <w:ind w:left="1417"/>
      <w:jc w:val="both"/>
    </w:pPr>
    <w:rPr>
      <w:rFonts w:ascii="Times New Roman" w:hAnsi="Times New Roman" w:cs="Times New Roman"/>
      <w:sz w:val="24"/>
    </w:rPr>
  </w:style>
  <w:style w:type="paragraph" w:customStyle="1" w:styleId="Point0">
    <w:name w:val="Point 0"/>
    <w:basedOn w:val="Normal"/>
    <w:rsid w:val="00D45A17"/>
    <w:pPr>
      <w:spacing w:before="120" w:after="120" w:line="240" w:lineRule="auto"/>
      <w:ind w:left="850" w:hanging="850"/>
      <w:jc w:val="both"/>
    </w:pPr>
    <w:rPr>
      <w:rFonts w:ascii="Times New Roman" w:hAnsi="Times New Roman" w:cs="Times New Roman"/>
      <w:sz w:val="24"/>
    </w:rPr>
  </w:style>
  <w:style w:type="paragraph" w:customStyle="1" w:styleId="Point1">
    <w:name w:val="Point 1"/>
    <w:basedOn w:val="Normal"/>
    <w:rsid w:val="00D45A17"/>
    <w:pPr>
      <w:spacing w:before="120" w:after="120" w:line="240" w:lineRule="auto"/>
      <w:ind w:left="1417" w:hanging="567"/>
      <w:jc w:val="both"/>
    </w:pPr>
    <w:rPr>
      <w:rFonts w:ascii="Times New Roman" w:hAnsi="Times New Roman" w:cs="Times New Roman"/>
      <w:sz w:val="24"/>
    </w:rPr>
  </w:style>
  <w:style w:type="paragraph" w:customStyle="1" w:styleId="Point2">
    <w:name w:val="Point 2"/>
    <w:basedOn w:val="Normal"/>
    <w:rsid w:val="00D45A17"/>
    <w:pPr>
      <w:spacing w:before="120" w:after="120" w:line="240" w:lineRule="auto"/>
      <w:ind w:left="1984" w:hanging="567"/>
      <w:jc w:val="both"/>
    </w:pPr>
    <w:rPr>
      <w:rFonts w:ascii="Times New Roman" w:hAnsi="Times New Roman" w:cs="Times New Roman"/>
      <w:sz w:val="24"/>
    </w:rPr>
  </w:style>
  <w:style w:type="paragraph" w:customStyle="1" w:styleId="Point3">
    <w:name w:val="Point 3"/>
    <w:basedOn w:val="Normal"/>
    <w:rsid w:val="00D45A17"/>
    <w:pPr>
      <w:spacing w:before="120" w:after="120" w:line="240" w:lineRule="auto"/>
      <w:ind w:left="2551" w:hanging="567"/>
      <w:jc w:val="both"/>
    </w:pPr>
    <w:rPr>
      <w:rFonts w:ascii="Times New Roman" w:hAnsi="Times New Roman" w:cs="Times New Roman"/>
      <w:sz w:val="24"/>
    </w:rPr>
  </w:style>
  <w:style w:type="paragraph" w:customStyle="1" w:styleId="Point4">
    <w:name w:val="Point 4"/>
    <w:basedOn w:val="Normal"/>
    <w:rsid w:val="00D45A17"/>
    <w:pPr>
      <w:spacing w:before="120" w:after="120" w:line="240" w:lineRule="auto"/>
      <w:ind w:left="3118" w:hanging="567"/>
      <w:jc w:val="both"/>
    </w:pPr>
    <w:rPr>
      <w:rFonts w:ascii="Times New Roman" w:hAnsi="Times New Roman" w:cs="Times New Roman"/>
      <w:sz w:val="24"/>
    </w:rPr>
  </w:style>
  <w:style w:type="paragraph" w:customStyle="1" w:styleId="Tiret0">
    <w:name w:val="Tiret 0"/>
    <w:basedOn w:val="Point0"/>
    <w:rsid w:val="00D45A17"/>
    <w:pPr>
      <w:tabs>
        <w:tab w:val="num" w:pos="720"/>
      </w:tabs>
      <w:ind w:left="720" w:hanging="720"/>
    </w:pPr>
  </w:style>
  <w:style w:type="paragraph" w:customStyle="1" w:styleId="Tiret1">
    <w:name w:val="Tiret 1"/>
    <w:basedOn w:val="Point1"/>
    <w:rsid w:val="00D45A17"/>
    <w:pPr>
      <w:tabs>
        <w:tab w:val="num" w:pos="720"/>
      </w:tabs>
      <w:ind w:left="720" w:hanging="720"/>
    </w:pPr>
  </w:style>
  <w:style w:type="paragraph" w:customStyle="1" w:styleId="Tiret2">
    <w:name w:val="Tiret 2"/>
    <w:basedOn w:val="Point2"/>
    <w:rsid w:val="00D45A17"/>
    <w:pPr>
      <w:tabs>
        <w:tab w:val="num" w:pos="720"/>
      </w:tabs>
      <w:ind w:left="720" w:hanging="720"/>
    </w:pPr>
  </w:style>
  <w:style w:type="paragraph" w:customStyle="1" w:styleId="Tiret3">
    <w:name w:val="Tiret 3"/>
    <w:basedOn w:val="Point3"/>
    <w:rsid w:val="00D45A17"/>
    <w:pPr>
      <w:tabs>
        <w:tab w:val="num" w:pos="720"/>
      </w:tabs>
      <w:ind w:left="720" w:hanging="720"/>
    </w:pPr>
  </w:style>
  <w:style w:type="paragraph" w:customStyle="1" w:styleId="Tiret4">
    <w:name w:val="Tiret 4"/>
    <w:basedOn w:val="Point4"/>
    <w:rsid w:val="00D45A17"/>
    <w:pPr>
      <w:tabs>
        <w:tab w:val="num" w:pos="720"/>
      </w:tabs>
      <w:ind w:left="720" w:hanging="720"/>
    </w:pPr>
  </w:style>
  <w:style w:type="paragraph" w:customStyle="1" w:styleId="PointDouble0">
    <w:name w:val="PointDouble 0"/>
    <w:basedOn w:val="Normal"/>
    <w:rsid w:val="00D45A17"/>
    <w:pPr>
      <w:tabs>
        <w:tab w:val="left" w:pos="850"/>
      </w:tabs>
      <w:spacing w:before="120" w:after="120" w:line="240" w:lineRule="auto"/>
      <w:ind w:left="1417" w:hanging="1417"/>
      <w:jc w:val="both"/>
    </w:pPr>
    <w:rPr>
      <w:rFonts w:ascii="Times New Roman" w:hAnsi="Times New Roman" w:cs="Times New Roman"/>
      <w:sz w:val="24"/>
    </w:rPr>
  </w:style>
  <w:style w:type="paragraph" w:customStyle="1" w:styleId="PointDouble1">
    <w:name w:val="PointDouble 1"/>
    <w:basedOn w:val="Normal"/>
    <w:rsid w:val="00D45A17"/>
    <w:pPr>
      <w:tabs>
        <w:tab w:val="left" w:pos="1417"/>
      </w:tabs>
      <w:spacing w:before="120" w:after="120" w:line="240" w:lineRule="auto"/>
      <w:ind w:left="1984" w:hanging="1134"/>
      <w:jc w:val="both"/>
    </w:pPr>
    <w:rPr>
      <w:rFonts w:ascii="Times New Roman" w:hAnsi="Times New Roman" w:cs="Times New Roman"/>
      <w:sz w:val="24"/>
    </w:rPr>
  </w:style>
  <w:style w:type="paragraph" w:customStyle="1" w:styleId="PointDouble2">
    <w:name w:val="PointDouble 2"/>
    <w:basedOn w:val="Normal"/>
    <w:rsid w:val="00D45A17"/>
    <w:pPr>
      <w:tabs>
        <w:tab w:val="left" w:pos="1984"/>
      </w:tabs>
      <w:spacing w:before="120" w:after="120" w:line="240" w:lineRule="auto"/>
      <w:ind w:left="2551" w:hanging="1134"/>
      <w:jc w:val="both"/>
    </w:pPr>
    <w:rPr>
      <w:rFonts w:ascii="Times New Roman" w:hAnsi="Times New Roman" w:cs="Times New Roman"/>
      <w:sz w:val="24"/>
    </w:rPr>
  </w:style>
  <w:style w:type="paragraph" w:customStyle="1" w:styleId="PointDouble3">
    <w:name w:val="PointDouble 3"/>
    <w:basedOn w:val="Normal"/>
    <w:rsid w:val="00D45A17"/>
    <w:pPr>
      <w:tabs>
        <w:tab w:val="left" w:pos="2551"/>
      </w:tabs>
      <w:spacing w:before="120" w:after="120" w:line="240" w:lineRule="auto"/>
      <w:ind w:left="3118" w:hanging="1134"/>
      <w:jc w:val="both"/>
    </w:pPr>
    <w:rPr>
      <w:rFonts w:ascii="Times New Roman" w:hAnsi="Times New Roman" w:cs="Times New Roman"/>
      <w:sz w:val="24"/>
    </w:rPr>
  </w:style>
  <w:style w:type="paragraph" w:customStyle="1" w:styleId="PointDouble4">
    <w:name w:val="PointDouble 4"/>
    <w:basedOn w:val="Normal"/>
    <w:rsid w:val="00D45A17"/>
    <w:pPr>
      <w:tabs>
        <w:tab w:val="left" w:pos="3118"/>
      </w:tabs>
      <w:spacing w:before="120" w:after="120" w:line="240" w:lineRule="auto"/>
      <w:ind w:left="3685" w:hanging="1134"/>
      <w:jc w:val="both"/>
    </w:pPr>
    <w:rPr>
      <w:rFonts w:ascii="Times New Roman" w:hAnsi="Times New Roman" w:cs="Times New Roman"/>
      <w:sz w:val="24"/>
    </w:rPr>
  </w:style>
  <w:style w:type="paragraph" w:customStyle="1" w:styleId="PointTriple0">
    <w:name w:val="PointTriple 0"/>
    <w:basedOn w:val="Normal"/>
    <w:rsid w:val="00D45A17"/>
    <w:pPr>
      <w:tabs>
        <w:tab w:val="left" w:pos="850"/>
        <w:tab w:val="left" w:pos="1417"/>
      </w:tabs>
      <w:spacing w:before="120" w:after="120" w:line="240" w:lineRule="auto"/>
      <w:ind w:left="1984" w:hanging="1984"/>
      <w:jc w:val="both"/>
    </w:pPr>
    <w:rPr>
      <w:rFonts w:ascii="Times New Roman" w:hAnsi="Times New Roman" w:cs="Times New Roman"/>
      <w:sz w:val="24"/>
    </w:rPr>
  </w:style>
  <w:style w:type="paragraph" w:customStyle="1" w:styleId="PointTriple1">
    <w:name w:val="PointTriple 1"/>
    <w:basedOn w:val="Normal"/>
    <w:rsid w:val="00D45A17"/>
    <w:pPr>
      <w:tabs>
        <w:tab w:val="left" w:pos="1417"/>
        <w:tab w:val="left" w:pos="1984"/>
      </w:tabs>
      <w:spacing w:before="120" w:after="120" w:line="240" w:lineRule="auto"/>
      <w:ind w:left="2551" w:hanging="1701"/>
      <w:jc w:val="both"/>
    </w:pPr>
    <w:rPr>
      <w:rFonts w:ascii="Times New Roman" w:hAnsi="Times New Roman" w:cs="Times New Roman"/>
      <w:sz w:val="24"/>
    </w:rPr>
  </w:style>
  <w:style w:type="paragraph" w:customStyle="1" w:styleId="PointTriple2">
    <w:name w:val="PointTriple 2"/>
    <w:basedOn w:val="Normal"/>
    <w:rsid w:val="00D45A17"/>
    <w:pPr>
      <w:tabs>
        <w:tab w:val="left" w:pos="1984"/>
        <w:tab w:val="left" w:pos="2551"/>
      </w:tabs>
      <w:spacing w:before="120" w:after="120" w:line="240" w:lineRule="auto"/>
      <w:ind w:left="3118" w:hanging="1701"/>
      <w:jc w:val="both"/>
    </w:pPr>
    <w:rPr>
      <w:rFonts w:ascii="Times New Roman" w:hAnsi="Times New Roman" w:cs="Times New Roman"/>
      <w:sz w:val="24"/>
    </w:rPr>
  </w:style>
  <w:style w:type="paragraph" w:customStyle="1" w:styleId="PointTriple3">
    <w:name w:val="PointTriple 3"/>
    <w:basedOn w:val="Normal"/>
    <w:rsid w:val="00D45A17"/>
    <w:pPr>
      <w:tabs>
        <w:tab w:val="left" w:pos="2551"/>
        <w:tab w:val="left" w:pos="3118"/>
      </w:tabs>
      <w:spacing w:before="120" w:after="120" w:line="240" w:lineRule="auto"/>
      <w:ind w:left="3685" w:hanging="1701"/>
      <w:jc w:val="both"/>
    </w:pPr>
    <w:rPr>
      <w:rFonts w:ascii="Times New Roman" w:hAnsi="Times New Roman" w:cs="Times New Roman"/>
      <w:sz w:val="24"/>
    </w:rPr>
  </w:style>
  <w:style w:type="paragraph" w:customStyle="1" w:styleId="PointTriple4">
    <w:name w:val="PointTriple 4"/>
    <w:basedOn w:val="Normal"/>
    <w:rsid w:val="00D45A17"/>
    <w:pPr>
      <w:tabs>
        <w:tab w:val="left" w:pos="3118"/>
        <w:tab w:val="left" w:pos="3685"/>
      </w:tabs>
      <w:spacing w:before="120" w:after="120" w:line="240" w:lineRule="auto"/>
      <w:ind w:left="4252" w:hanging="1701"/>
      <w:jc w:val="both"/>
    </w:pPr>
    <w:rPr>
      <w:rFonts w:ascii="Times New Roman" w:hAnsi="Times New Roman" w:cs="Times New Roman"/>
      <w:sz w:val="24"/>
    </w:rPr>
  </w:style>
  <w:style w:type="paragraph" w:customStyle="1" w:styleId="NumPar1">
    <w:name w:val="NumPar 1"/>
    <w:basedOn w:val="Normal"/>
    <w:next w:val="Text1"/>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NumPar2">
    <w:name w:val="NumPar 2"/>
    <w:basedOn w:val="Normal"/>
    <w:next w:val="Text1"/>
    <w:rsid w:val="00D45A17"/>
    <w:pPr>
      <w:tabs>
        <w:tab w:val="num" w:pos="1440"/>
      </w:tabs>
      <w:spacing w:before="120" w:after="120" w:line="240" w:lineRule="auto"/>
      <w:ind w:left="1440" w:hanging="720"/>
      <w:jc w:val="both"/>
    </w:pPr>
    <w:rPr>
      <w:rFonts w:ascii="Times New Roman" w:hAnsi="Times New Roman" w:cs="Times New Roman"/>
      <w:sz w:val="24"/>
    </w:rPr>
  </w:style>
  <w:style w:type="paragraph" w:customStyle="1" w:styleId="NumPar3">
    <w:name w:val="NumPar 3"/>
    <w:basedOn w:val="Normal"/>
    <w:next w:val="Text1"/>
    <w:rsid w:val="00D45A17"/>
    <w:pPr>
      <w:tabs>
        <w:tab w:val="num" w:pos="2160"/>
      </w:tabs>
      <w:spacing w:before="120" w:after="120" w:line="240" w:lineRule="auto"/>
      <w:ind w:left="2160" w:hanging="720"/>
      <w:jc w:val="both"/>
    </w:pPr>
    <w:rPr>
      <w:rFonts w:ascii="Times New Roman" w:hAnsi="Times New Roman" w:cs="Times New Roman"/>
      <w:sz w:val="24"/>
    </w:rPr>
  </w:style>
  <w:style w:type="paragraph" w:customStyle="1" w:styleId="NumPar4">
    <w:name w:val="NumPar 4"/>
    <w:basedOn w:val="Normal"/>
    <w:next w:val="Text1"/>
    <w:rsid w:val="00D45A17"/>
    <w:pPr>
      <w:tabs>
        <w:tab w:val="num" w:pos="2880"/>
      </w:tabs>
      <w:spacing w:before="120" w:after="120" w:line="240" w:lineRule="auto"/>
      <w:ind w:left="2880" w:hanging="720"/>
      <w:jc w:val="both"/>
    </w:pPr>
    <w:rPr>
      <w:rFonts w:ascii="Times New Roman" w:hAnsi="Times New Roman" w:cs="Times New Roman"/>
      <w:sz w:val="24"/>
    </w:rPr>
  </w:style>
  <w:style w:type="paragraph" w:customStyle="1" w:styleId="ManualNumPar1">
    <w:name w:val="Manual NumPar 1"/>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2">
    <w:name w:val="Manual NumPar 2"/>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3">
    <w:name w:val="Manual NumPar 3"/>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4">
    <w:name w:val="Manual NumPar 4"/>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QuotedNumPar">
    <w:name w:val="Quoted NumPar"/>
    <w:basedOn w:val="Normal"/>
    <w:rsid w:val="00D45A17"/>
    <w:pPr>
      <w:spacing w:before="120" w:after="120" w:line="240" w:lineRule="auto"/>
      <w:ind w:left="1417" w:hanging="567"/>
      <w:jc w:val="both"/>
    </w:pPr>
    <w:rPr>
      <w:rFonts w:ascii="Times New Roman" w:hAnsi="Times New Roman" w:cs="Times New Roman"/>
      <w:sz w:val="24"/>
    </w:rPr>
  </w:style>
  <w:style w:type="paragraph" w:customStyle="1" w:styleId="ManualHeading1">
    <w:name w:val="Manual Heading 1"/>
    <w:basedOn w:val="Normal"/>
    <w:next w:val="Text1"/>
    <w:rsid w:val="00D45A17"/>
    <w:pPr>
      <w:keepNext/>
      <w:tabs>
        <w:tab w:val="left" w:pos="850"/>
      </w:tabs>
      <w:spacing w:before="360" w:after="120" w:line="240" w:lineRule="auto"/>
      <w:ind w:left="850" w:hanging="850"/>
      <w:jc w:val="both"/>
      <w:outlineLvl w:val="0"/>
    </w:pPr>
    <w:rPr>
      <w:rFonts w:ascii="Times New Roman" w:hAnsi="Times New Roman" w:cs="Times New Roman"/>
      <w:b/>
      <w:smallCaps/>
      <w:sz w:val="24"/>
    </w:rPr>
  </w:style>
  <w:style w:type="paragraph" w:customStyle="1" w:styleId="ManualHeading2">
    <w:name w:val="Manual Heading 2"/>
    <w:basedOn w:val="Normal"/>
    <w:next w:val="Text1"/>
    <w:rsid w:val="00D45A17"/>
    <w:pPr>
      <w:keepNext/>
      <w:tabs>
        <w:tab w:val="left" w:pos="850"/>
      </w:tabs>
      <w:spacing w:before="120" w:after="120" w:line="240" w:lineRule="auto"/>
      <w:ind w:left="850" w:hanging="850"/>
      <w:jc w:val="both"/>
      <w:outlineLvl w:val="1"/>
    </w:pPr>
    <w:rPr>
      <w:rFonts w:ascii="Times New Roman" w:hAnsi="Times New Roman" w:cs="Times New Roman"/>
      <w:b/>
      <w:sz w:val="24"/>
    </w:rPr>
  </w:style>
  <w:style w:type="paragraph" w:customStyle="1" w:styleId="ManualHeading3">
    <w:name w:val="Manual Heading 3"/>
    <w:basedOn w:val="Normal"/>
    <w:next w:val="Text1"/>
    <w:rsid w:val="00D45A17"/>
    <w:pPr>
      <w:keepNext/>
      <w:tabs>
        <w:tab w:val="left" w:pos="850"/>
      </w:tabs>
      <w:spacing w:before="120" w:after="120" w:line="240" w:lineRule="auto"/>
      <w:ind w:left="850" w:hanging="850"/>
      <w:jc w:val="both"/>
      <w:outlineLvl w:val="2"/>
    </w:pPr>
    <w:rPr>
      <w:rFonts w:ascii="Times New Roman" w:hAnsi="Times New Roman" w:cs="Times New Roman"/>
      <w:i/>
      <w:sz w:val="24"/>
    </w:rPr>
  </w:style>
  <w:style w:type="paragraph" w:customStyle="1" w:styleId="ManualHeading4">
    <w:name w:val="Manual Heading 4"/>
    <w:basedOn w:val="Normal"/>
    <w:next w:val="Text1"/>
    <w:rsid w:val="00D45A17"/>
    <w:pPr>
      <w:keepNext/>
      <w:tabs>
        <w:tab w:val="left" w:pos="850"/>
      </w:tabs>
      <w:spacing w:before="120" w:after="120" w:line="240" w:lineRule="auto"/>
      <w:ind w:left="850" w:hanging="850"/>
      <w:jc w:val="both"/>
      <w:outlineLvl w:val="3"/>
    </w:pPr>
    <w:rPr>
      <w:rFonts w:ascii="Times New Roman" w:hAnsi="Times New Roman" w:cs="Times New Roman"/>
      <w:sz w:val="24"/>
    </w:rPr>
  </w:style>
  <w:style w:type="paragraph" w:customStyle="1" w:styleId="ChapterTitle">
    <w:name w:val="ChapterTitle"/>
    <w:basedOn w:val="Normal"/>
    <w:next w:val="Normal"/>
    <w:rsid w:val="00D45A17"/>
    <w:pPr>
      <w:keepNext/>
      <w:spacing w:before="120" w:after="360" w:line="240" w:lineRule="auto"/>
      <w:jc w:val="center"/>
    </w:pPr>
    <w:rPr>
      <w:rFonts w:ascii="Times New Roman" w:hAnsi="Times New Roman" w:cs="Times New Roman"/>
      <w:b/>
      <w:sz w:val="32"/>
    </w:rPr>
  </w:style>
  <w:style w:type="paragraph" w:customStyle="1" w:styleId="PartTitle">
    <w:name w:val="PartTitle"/>
    <w:basedOn w:val="Normal"/>
    <w:next w:val="ChapterTitle"/>
    <w:rsid w:val="00D45A17"/>
    <w:pPr>
      <w:keepNext/>
      <w:pageBreakBefore/>
      <w:spacing w:before="120" w:after="360" w:line="240" w:lineRule="auto"/>
      <w:jc w:val="center"/>
    </w:pPr>
    <w:rPr>
      <w:rFonts w:ascii="Times New Roman" w:hAnsi="Times New Roman" w:cs="Times New Roman"/>
      <w:b/>
      <w:sz w:val="36"/>
    </w:rPr>
  </w:style>
  <w:style w:type="paragraph" w:customStyle="1" w:styleId="SectionTitle">
    <w:name w:val="SectionTitle"/>
    <w:basedOn w:val="Normal"/>
    <w:next w:val="Heading1"/>
    <w:rsid w:val="00D45A17"/>
    <w:pPr>
      <w:keepNext/>
      <w:spacing w:before="120" w:after="360" w:line="240" w:lineRule="auto"/>
      <w:jc w:val="center"/>
    </w:pPr>
    <w:rPr>
      <w:rFonts w:ascii="Times New Roman" w:hAnsi="Times New Roman" w:cs="Times New Roman"/>
      <w:b/>
      <w:smallCaps/>
      <w:sz w:val="28"/>
    </w:rPr>
  </w:style>
  <w:style w:type="paragraph" w:customStyle="1" w:styleId="TableTitle">
    <w:name w:val="Table Title"/>
    <w:basedOn w:val="Normal"/>
    <w:next w:val="Normal"/>
    <w:rsid w:val="00D45A17"/>
    <w:pPr>
      <w:spacing w:before="120" w:after="120" w:line="240" w:lineRule="auto"/>
      <w:jc w:val="center"/>
    </w:pPr>
    <w:rPr>
      <w:rFonts w:ascii="Times New Roman" w:hAnsi="Times New Roman" w:cs="Times New Roman"/>
      <w:b/>
      <w:sz w:val="24"/>
    </w:rPr>
  </w:style>
  <w:style w:type="character" w:customStyle="1" w:styleId="Marker1">
    <w:name w:val="Marker1"/>
    <w:basedOn w:val="DefaultParagraphFont"/>
    <w:rsid w:val="00D45A17"/>
    <w:rPr>
      <w:color w:val="008000"/>
      <w:shd w:val="clear" w:color="auto" w:fill="auto"/>
    </w:rPr>
  </w:style>
  <w:style w:type="character" w:customStyle="1" w:styleId="Marker2">
    <w:name w:val="Marker2"/>
    <w:basedOn w:val="DefaultParagraphFont"/>
    <w:rsid w:val="00D45A17"/>
    <w:rPr>
      <w:color w:val="FF0000"/>
      <w:shd w:val="clear" w:color="auto" w:fill="auto"/>
    </w:rPr>
  </w:style>
  <w:style w:type="paragraph" w:customStyle="1" w:styleId="Point0number">
    <w:name w:val="Point 0 (number)"/>
    <w:basedOn w:val="Normal"/>
    <w:rsid w:val="00D45A17"/>
    <w:pPr>
      <w:numPr>
        <w:numId w:val="9"/>
      </w:numPr>
      <w:spacing w:before="120" w:after="120" w:line="240" w:lineRule="auto"/>
      <w:jc w:val="both"/>
    </w:pPr>
    <w:rPr>
      <w:rFonts w:ascii="Times New Roman" w:hAnsi="Times New Roman" w:cs="Times New Roman"/>
      <w:sz w:val="24"/>
    </w:rPr>
  </w:style>
  <w:style w:type="paragraph" w:customStyle="1" w:styleId="Point1number">
    <w:name w:val="Point 1 (number)"/>
    <w:basedOn w:val="Normal"/>
    <w:rsid w:val="00D45A17"/>
    <w:pPr>
      <w:numPr>
        <w:ilvl w:val="2"/>
        <w:numId w:val="9"/>
      </w:numPr>
      <w:spacing w:before="120" w:after="120" w:line="240" w:lineRule="auto"/>
      <w:jc w:val="both"/>
    </w:pPr>
    <w:rPr>
      <w:rFonts w:ascii="Times New Roman" w:hAnsi="Times New Roman" w:cs="Times New Roman"/>
      <w:sz w:val="24"/>
    </w:rPr>
  </w:style>
  <w:style w:type="paragraph" w:customStyle="1" w:styleId="Point2number">
    <w:name w:val="Point 2 (number)"/>
    <w:basedOn w:val="Normal"/>
    <w:rsid w:val="00D45A17"/>
    <w:pPr>
      <w:numPr>
        <w:ilvl w:val="4"/>
        <w:numId w:val="9"/>
      </w:numPr>
      <w:spacing w:before="120" w:after="120" w:line="240" w:lineRule="auto"/>
      <w:jc w:val="both"/>
    </w:pPr>
    <w:rPr>
      <w:rFonts w:ascii="Times New Roman" w:hAnsi="Times New Roman" w:cs="Times New Roman"/>
      <w:sz w:val="24"/>
    </w:rPr>
  </w:style>
  <w:style w:type="paragraph" w:customStyle="1" w:styleId="Point3number">
    <w:name w:val="Point 3 (number)"/>
    <w:basedOn w:val="Normal"/>
    <w:rsid w:val="00D45A17"/>
    <w:pPr>
      <w:numPr>
        <w:ilvl w:val="6"/>
        <w:numId w:val="9"/>
      </w:numPr>
      <w:spacing w:before="120" w:after="120" w:line="240" w:lineRule="auto"/>
      <w:jc w:val="both"/>
    </w:pPr>
    <w:rPr>
      <w:rFonts w:ascii="Times New Roman" w:hAnsi="Times New Roman" w:cs="Times New Roman"/>
      <w:sz w:val="24"/>
    </w:rPr>
  </w:style>
  <w:style w:type="paragraph" w:customStyle="1" w:styleId="Point0letter">
    <w:name w:val="Point 0 (letter)"/>
    <w:basedOn w:val="Normal"/>
    <w:rsid w:val="00D45A17"/>
    <w:pPr>
      <w:numPr>
        <w:ilvl w:val="1"/>
        <w:numId w:val="9"/>
      </w:numPr>
      <w:spacing w:before="120" w:after="120" w:line="240" w:lineRule="auto"/>
      <w:jc w:val="both"/>
    </w:pPr>
    <w:rPr>
      <w:rFonts w:ascii="Times New Roman" w:hAnsi="Times New Roman" w:cs="Times New Roman"/>
      <w:sz w:val="24"/>
    </w:rPr>
  </w:style>
  <w:style w:type="paragraph" w:customStyle="1" w:styleId="Point1letter">
    <w:name w:val="Point 1 (letter)"/>
    <w:basedOn w:val="Normal"/>
    <w:rsid w:val="00D45A17"/>
    <w:pPr>
      <w:spacing w:before="120" w:after="120" w:line="240" w:lineRule="auto"/>
      <w:jc w:val="both"/>
    </w:pPr>
    <w:rPr>
      <w:rFonts w:ascii="Times New Roman" w:hAnsi="Times New Roman" w:cs="Times New Roman"/>
      <w:sz w:val="24"/>
    </w:rPr>
  </w:style>
  <w:style w:type="paragraph" w:customStyle="1" w:styleId="Point2letter">
    <w:name w:val="Point 2 (letter)"/>
    <w:basedOn w:val="Normal"/>
    <w:rsid w:val="00D45A17"/>
    <w:pPr>
      <w:numPr>
        <w:ilvl w:val="5"/>
        <w:numId w:val="9"/>
      </w:numPr>
      <w:spacing w:before="120" w:after="120" w:line="240" w:lineRule="auto"/>
      <w:jc w:val="both"/>
    </w:pPr>
    <w:rPr>
      <w:rFonts w:ascii="Times New Roman" w:hAnsi="Times New Roman" w:cs="Times New Roman"/>
      <w:sz w:val="24"/>
    </w:rPr>
  </w:style>
  <w:style w:type="paragraph" w:customStyle="1" w:styleId="Point3letter">
    <w:name w:val="Point 3 (letter)"/>
    <w:basedOn w:val="Normal"/>
    <w:rsid w:val="00D45A17"/>
    <w:pPr>
      <w:numPr>
        <w:ilvl w:val="7"/>
        <w:numId w:val="9"/>
      </w:numPr>
      <w:spacing w:before="120" w:after="120" w:line="240" w:lineRule="auto"/>
      <w:jc w:val="both"/>
    </w:pPr>
    <w:rPr>
      <w:rFonts w:ascii="Times New Roman" w:hAnsi="Times New Roman" w:cs="Times New Roman"/>
      <w:sz w:val="24"/>
    </w:rPr>
  </w:style>
  <w:style w:type="paragraph" w:customStyle="1" w:styleId="Point4letter">
    <w:name w:val="Point 4 (letter)"/>
    <w:basedOn w:val="Normal"/>
    <w:rsid w:val="00D45A17"/>
    <w:pPr>
      <w:numPr>
        <w:ilvl w:val="8"/>
        <w:numId w:val="9"/>
      </w:numPr>
      <w:spacing w:before="120" w:after="120" w:line="240" w:lineRule="auto"/>
      <w:jc w:val="both"/>
    </w:pPr>
    <w:rPr>
      <w:rFonts w:ascii="Times New Roman" w:hAnsi="Times New Roman" w:cs="Times New Roman"/>
      <w:sz w:val="24"/>
    </w:rPr>
  </w:style>
  <w:style w:type="paragraph" w:customStyle="1" w:styleId="Bullet0">
    <w:name w:val="Bullet 0"/>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1">
    <w:name w:val="Bullet 1"/>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2">
    <w:name w:val="Bullet 2"/>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3">
    <w:name w:val="Bullet 3"/>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4">
    <w:name w:val="Bullet 4"/>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Langue">
    <w:name w:val="Langue"/>
    <w:basedOn w:val="Normal"/>
    <w:next w:val="Rfrenceinterne"/>
    <w:rsid w:val="00D45A17"/>
    <w:pPr>
      <w:framePr w:wrap="around" w:vAnchor="page" w:hAnchor="text" w:xAlign="center" w:y="14741"/>
      <w:spacing w:after="600" w:line="240" w:lineRule="auto"/>
      <w:jc w:val="center"/>
    </w:pPr>
    <w:rPr>
      <w:rFonts w:ascii="Times New Roman" w:hAnsi="Times New Roman" w:cs="Times New Roman"/>
      <w:b/>
      <w:caps/>
      <w:sz w:val="24"/>
    </w:rPr>
  </w:style>
  <w:style w:type="paragraph" w:customStyle="1" w:styleId="Nomdelinstitution">
    <w:name w:val="Nom de l'institution"/>
    <w:basedOn w:val="Normal"/>
    <w:next w:val="Emission"/>
    <w:rsid w:val="00D45A17"/>
    <w:pPr>
      <w:spacing w:after="0" w:line="240" w:lineRule="auto"/>
    </w:pPr>
    <w:rPr>
      <w:rFonts w:ascii="Arial" w:hAnsi="Arial" w:cs="Arial"/>
      <w:sz w:val="24"/>
    </w:rPr>
  </w:style>
  <w:style w:type="paragraph" w:customStyle="1" w:styleId="Emission">
    <w:name w:val="Emission"/>
    <w:basedOn w:val="Normal"/>
    <w:next w:val="Rfrenceinstitutionnelle"/>
    <w:rsid w:val="00D45A17"/>
    <w:pPr>
      <w:spacing w:after="0" w:line="240" w:lineRule="auto"/>
      <w:ind w:left="5103"/>
    </w:pPr>
    <w:rPr>
      <w:rFonts w:ascii="Times New Roman" w:hAnsi="Times New Roman" w:cs="Times New Roman"/>
      <w:sz w:val="24"/>
    </w:rPr>
  </w:style>
  <w:style w:type="paragraph" w:customStyle="1" w:styleId="Rfrenceinstitutionnelle">
    <w:name w:val="Référence institutionnelle"/>
    <w:basedOn w:val="Normal"/>
    <w:next w:val="Confidentialit"/>
    <w:rsid w:val="00D45A17"/>
    <w:pPr>
      <w:spacing w:after="240" w:line="240" w:lineRule="auto"/>
      <w:ind w:left="5103"/>
    </w:pPr>
    <w:rPr>
      <w:rFonts w:ascii="Times New Roman" w:hAnsi="Times New Roman" w:cs="Times New Roman"/>
      <w:sz w:val="24"/>
    </w:rPr>
  </w:style>
  <w:style w:type="paragraph" w:customStyle="1" w:styleId="Declassification">
    <w:name w:val="Declassification"/>
    <w:basedOn w:val="Normal"/>
    <w:next w:val="Normal"/>
    <w:rsid w:val="00D45A17"/>
    <w:pPr>
      <w:spacing w:after="0" w:line="240" w:lineRule="auto"/>
      <w:jc w:val="both"/>
    </w:pPr>
    <w:rPr>
      <w:rFonts w:ascii="Times New Roman" w:hAnsi="Times New Roman" w:cs="Times New Roman"/>
      <w:sz w:val="24"/>
    </w:rPr>
  </w:style>
  <w:style w:type="paragraph" w:customStyle="1" w:styleId="Disclaimer">
    <w:name w:val="Disclaimer"/>
    <w:basedOn w:val="Normal"/>
    <w:rsid w:val="00D45A17"/>
    <w:pPr>
      <w:framePr w:w="8220" w:wrap="notBeside" w:hAnchor="margin" w:xAlign="center" w:y="10401"/>
      <w:pBdr>
        <w:top w:val="single" w:sz="6" w:space="4" w:color="auto"/>
        <w:left w:val="single" w:sz="6" w:space="7" w:color="auto"/>
        <w:bottom w:val="single" w:sz="6" w:space="4" w:color="auto"/>
        <w:right w:val="single" w:sz="6" w:space="7" w:color="auto"/>
      </w:pBdr>
      <w:shd w:val="clear" w:color="FFFFFF" w:fill="auto"/>
      <w:spacing w:before="120" w:after="120" w:line="240" w:lineRule="auto"/>
      <w:jc w:val="both"/>
    </w:pPr>
    <w:rPr>
      <w:rFonts w:ascii="Times New Roman" w:hAnsi="Times New Roman" w:cs="Times New Roman"/>
      <w:sz w:val="24"/>
    </w:rPr>
  </w:style>
  <w:style w:type="paragraph" w:customStyle="1" w:styleId="SecurityMarking">
    <w:name w:val="SecurityMarking"/>
    <w:basedOn w:val="Normal"/>
    <w:rsid w:val="00525BBE"/>
    <w:pPr>
      <w:spacing w:after="0"/>
      <w:ind w:left="5103"/>
    </w:pPr>
    <w:rPr>
      <w:rFonts w:ascii="Times New Roman" w:hAnsi="Times New Roman" w:cs="Times New Roman"/>
      <w:sz w:val="28"/>
    </w:rPr>
  </w:style>
  <w:style w:type="paragraph" w:customStyle="1" w:styleId="DateMarking">
    <w:name w:val="DateMarking"/>
    <w:basedOn w:val="Normal"/>
    <w:rsid w:val="00525BBE"/>
    <w:pPr>
      <w:spacing w:after="0"/>
      <w:ind w:left="5103"/>
    </w:pPr>
    <w:rPr>
      <w:rFonts w:ascii="Times New Roman" w:hAnsi="Times New Roman" w:cs="Times New Roman"/>
      <w:i/>
      <w:sz w:val="28"/>
    </w:rPr>
  </w:style>
  <w:style w:type="paragraph" w:customStyle="1" w:styleId="ReleasableTo">
    <w:name w:val="ReleasableTo"/>
    <w:basedOn w:val="Normal"/>
    <w:rsid w:val="00525BBE"/>
    <w:pPr>
      <w:spacing w:after="0"/>
      <w:ind w:left="5103"/>
    </w:pPr>
    <w:rPr>
      <w:rFonts w:ascii="Times New Roman" w:hAnsi="Times New Roman" w:cs="Times New Roman"/>
      <w:i/>
      <w:sz w:val="28"/>
    </w:rPr>
  </w:style>
  <w:style w:type="paragraph" w:customStyle="1" w:styleId="Annexetitreexpos">
    <w:name w:val="Annexe titre (exposé)"/>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nnexetitre">
    <w:name w:val="Annexe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nnexetitrefichefinancire">
    <w:name w:val="Annexe titre (fiche financiè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pplicationdirecte">
    <w:name w:val="Application directe"/>
    <w:basedOn w:val="Normal"/>
    <w:next w:val="Fait"/>
    <w:rsid w:val="00D45A17"/>
    <w:pPr>
      <w:spacing w:before="480" w:after="120" w:line="240" w:lineRule="auto"/>
      <w:jc w:val="both"/>
    </w:pPr>
    <w:rPr>
      <w:rFonts w:ascii="Times New Roman" w:hAnsi="Times New Roman" w:cs="Times New Roman"/>
      <w:sz w:val="24"/>
    </w:rPr>
  </w:style>
  <w:style w:type="paragraph" w:customStyle="1" w:styleId="Avertissementtitre">
    <w:name w:val="Avertissement titre"/>
    <w:basedOn w:val="Normal"/>
    <w:next w:val="Normal"/>
    <w:rsid w:val="00D45A17"/>
    <w:pPr>
      <w:keepNext/>
      <w:spacing w:before="480" w:after="120" w:line="240" w:lineRule="auto"/>
      <w:jc w:val="both"/>
    </w:pPr>
    <w:rPr>
      <w:rFonts w:ascii="Times New Roman" w:hAnsi="Times New Roman" w:cs="Times New Roman"/>
      <w:sz w:val="24"/>
      <w:u w:val="single"/>
    </w:rPr>
  </w:style>
  <w:style w:type="paragraph" w:customStyle="1" w:styleId="Confidence">
    <w:name w:val="Confidence"/>
    <w:basedOn w:val="Normal"/>
    <w:next w:val="Normal"/>
    <w:rsid w:val="00D45A17"/>
    <w:pPr>
      <w:spacing w:before="360" w:after="120" w:line="240" w:lineRule="auto"/>
      <w:jc w:val="center"/>
    </w:pPr>
    <w:rPr>
      <w:rFonts w:ascii="Times New Roman" w:hAnsi="Times New Roman" w:cs="Times New Roman"/>
      <w:sz w:val="24"/>
    </w:rPr>
  </w:style>
  <w:style w:type="paragraph" w:customStyle="1" w:styleId="Confidentialit">
    <w:name w:val="Confidentialité"/>
    <w:basedOn w:val="Normal"/>
    <w:next w:val="TypedudocumentPagedecouverture"/>
    <w:rsid w:val="00D45A17"/>
    <w:pPr>
      <w:spacing w:before="240" w:after="240" w:line="240" w:lineRule="auto"/>
      <w:ind w:left="5103"/>
    </w:pPr>
    <w:rPr>
      <w:rFonts w:ascii="Times New Roman" w:hAnsi="Times New Roman" w:cs="Times New Roman"/>
      <w:i/>
      <w:sz w:val="32"/>
    </w:rPr>
  </w:style>
  <w:style w:type="paragraph" w:customStyle="1" w:styleId="Considrant">
    <w:name w:val="Considérant"/>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Corrigendum">
    <w:name w:val="Corrigendum"/>
    <w:basedOn w:val="Normal"/>
    <w:next w:val="Normal"/>
    <w:rsid w:val="00D45A17"/>
    <w:pPr>
      <w:spacing w:after="240" w:line="240" w:lineRule="auto"/>
    </w:pPr>
    <w:rPr>
      <w:rFonts w:ascii="Times New Roman" w:hAnsi="Times New Roman" w:cs="Times New Roman"/>
      <w:sz w:val="24"/>
    </w:rPr>
  </w:style>
  <w:style w:type="paragraph" w:customStyle="1" w:styleId="Datedadoption">
    <w:name w:val="Date d'adoption"/>
    <w:basedOn w:val="Normal"/>
    <w:next w:val="IntrtEEE"/>
    <w:rsid w:val="00D45A17"/>
    <w:pPr>
      <w:spacing w:before="360" w:after="0" w:line="240" w:lineRule="auto"/>
      <w:jc w:val="center"/>
    </w:pPr>
    <w:rPr>
      <w:rFonts w:ascii="Times New Roman" w:hAnsi="Times New Roman" w:cs="Times New Roman"/>
      <w:b/>
      <w:sz w:val="24"/>
    </w:rPr>
  </w:style>
  <w:style w:type="paragraph" w:customStyle="1" w:styleId="Exposdesmotifstitre">
    <w:name w:val="Exposé des motifs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Fait">
    <w:name w:val="Fait à"/>
    <w:basedOn w:val="Normal"/>
    <w:next w:val="Institutionquisigne"/>
    <w:rsid w:val="00D45A17"/>
    <w:pPr>
      <w:keepNext/>
      <w:spacing w:before="120" w:after="0" w:line="240" w:lineRule="auto"/>
      <w:jc w:val="both"/>
    </w:pPr>
    <w:rPr>
      <w:rFonts w:ascii="Times New Roman" w:hAnsi="Times New Roman" w:cs="Times New Roman"/>
      <w:sz w:val="24"/>
    </w:rPr>
  </w:style>
  <w:style w:type="paragraph" w:customStyle="1" w:styleId="Formuledadoption">
    <w:name w:val="Formule d'adoption"/>
    <w:basedOn w:val="Normal"/>
    <w:next w:val="Titrearticle"/>
    <w:rsid w:val="00D45A17"/>
    <w:pPr>
      <w:keepNext/>
      <w:spacing w:before="120" w:after="120" w:line="240" w:lineRule="auto"/>
      <w:jc w:val="both"/>
    </w:pPr>
    <w:rPr>
      <w:rFonts w:ascii="Times New Roman" w:hAnsi="Times New Roman" w:cs="Times New Roman"/>
      <w:sz w:val="24"/>
    </w:rPr>
  </w:style>
  <w:style w:type="paragraph" w:customStyle="1" w:styleId="Institutionquiagit">
    <w:name w:val="Institution qui agit"/>
    <w:basedOn w:val="Normal"/>
    <w:next w:val="Normal"/>
    <w:rsid w:val="00D45A17"/>
    <w:pPr>
      <w:keepNext/>
      <w:spacing w:before="600" w:after="120" w:line="240" w:lineRule="auto"/>
      <w:jc w:val="both"/>
    </w:pPr>
    <w:rPr>
      <w:rFonts w:ascii="Times New Roman" w:hAnsi="Times New Roman" w:cs="Times New Roman"/>
      <w:sz w:val="24"/>
    </w:rPr>
  </w:style>
  <w:style w:type="paragraph" w:customStyle="1" w:styleId="Institutionquisigne">
    <w:name w:val="Institution qui signe"/>
    <w:basedOn w:val="Normal"/>
    <w:next w:val="Personnequisigne"/>
    <w:rsid w:val="00D45A17"/>
    <w:pPr>
      <w:keepNext/>
      <w:tabs>
        <w:tab w:val="left" w:pos="4252"/>
      </w:tabs>
      <w:spacing w:before="720" w:after="0" w:line="240" w:lineRule="auto"/>
      <w:jc w:val="both"/>
    </w:pPr>
    <w:rPr>
      <w:rFonts w:ascii="Times New Roman" w:hAnsi="Times New Roman" w:cs="Times New Roman"/>
      <w:i/>
      <w:sz w:val="24"/>
    </w:rPr>
  </w:style>
  <w:style w:type="paragraph" w:customStyle="1" w:styleId="ManualConsidrant">
    <w:name w:val="Manual Considérant"/>
    <w:basedOn w:val="Normal"/>
    <w:rsid w:val="00D45A17"/>
    <w:pPr>
      <w:spacing w:before="120" w:after="120" w:line="240" w:lineRule="auto"/>
      <w:ind w:left="709" w:hanging="709"/>
      <w:jc w:val="both"/>
    </w:pPr>
    <w:rPr>
      <w:rFonts w:ascii="Times New Roman" w:hAnsi="Times New Roman" w:cs="Times New Roman"/>
      <w:sz w:val="24"/>
    </w:rPr>
  </w:style>
  <w:style w:type="paragraph" w:customStyle="1" w:styleId="Personnequisigne">
    <w:name w:val="Personne qui signe"/>
    <w:basedOn w:val="Normal"/>
    <w:next w:val="Institutionquisigne"/>
    <w:rsid w:val="00D45A17"/>
    <w:pPr>
      <w:tabs>
        <w:tab w:val="left" w:pos="4252"/>
      </w:tabs>
      <w:spacing w:after="0" w:line="240" w:lineRule="auto"/>
    </w:pPr>
    <w:rPr>
      <w:rFonts w:ascii="Times New Roman" w:hAnsi="Times New Roman" w:cs="Times New Roman"/>
      <w:i/>
      <w:sz w:val="24"/>
    </w:rPr>
  </w:style>
  <w:style w:type="paragraph" w:customStyle="1" w:styleId="Rfrenceinterinstitutionnelle">
    <w:name w:val="Référence interinstitutionnelle"/>
    <w:basedOn w:val="Normal"/>
    <w:next w:val="Statut"/>
    <w:rsid w:val="00D45A17"/>
    <w:pPr>
      <w:spacing w:after="0" w:line="240" w:lineRule="auto"/>
      <w:ind w:left="5103"/>
    </w:pPr>
    <w:rPr>
      <w:rFonts w:ascii="Times New Roman" w:hAnsi="Times New Roman" w:cs="Times New Roman"/>
      <w:sz w:val="24"/>
    </w:rPr>
  </w:style>
  <w:style w:type="paragraph" w:customStyle="1" w:styleId="Rfrenceinterne">
    <w:name w:val="Référence interne"/>
    <w:basedOn w:val="Normal"/>
    <w:next w:val="Rfrenceinterinstitutionnelle"/>
    <w:rsid w:val="00D45A17"/>
    <w:pPr>
      <w:spacing w:after="0" w:line="240" w:lineRule="auto"/>
      <w:ind w:left="5103"/>
    </w:pPr>
    <w:rPr>
      <w:rFonts w:ascii="Times New Roman" w:hAnsi="Times New Roman" w:cs="Times New Roman"/>
      <w:sz w:val="24"/>
    </w:rPr>
  </w:style>
  <w:style w:type="paragraph" w:customStyle="1" w:styleId="Statut">
    <w:name w:val="Statut"/>
    <w:basedOn w:val="Normal"/>
    <w:next w:val="Typedudocument"/>
    <w:rsid w:val="00D45A17"/>
    <w:pPr>
      <w:spacing w:after="240" w:line="240" w:lineRule="auto"/>
      <w:jc w:val="center"/>
    </w:pPr>
    <w:rPr>
      <w:rFonts w:ascii="Times New Roman" w:hAnsi="Times New Roman" w:cs="Times New Roman"/>
      <w:sz w:val="24"/>
    </w:rPr>
  </w:style>
  <w:style w:type="paragraph" w:customStyle="1" w:styleId="Titrearticle">
    <w:name w:val="Titre article"/>
    <w:basedOn w:val="Normal"/>
    <w:next w:val="Normal"/>
    <w:rsid w:val="00D45A17"/>
    <w:pPr>
      <w:keepNext/>
      <w:spacing w:before="360" w:after="120" w:line="240" w:lineRule="auto"/>
      <w:jc w:val="center"/>
    </w:pPr>
    <w:rPr>
      <w:rFonts w:ascii="Times New Roman" w:hAnsi="Times New Roman" w:cs="Times New Roman"/>
      <w:i/>
      <w:sz w:val="24"/>
    </w:rPr>
  </w:style>
  <w:style w:type="paragraph" w:customStyle="1" w:styleId="Typedudocument">
    <w:name w:val="Type du document"/>
    <w:basedOn w:val="Normal"/>
    <w:next w:val="Accompagnant"/>
    <w:rsid w:val="00D45A17"/>
    <w:pPr>
      <w:spacing w:before="360" w:after="180" w:line="240" w:lineRule="auto"/>
      <w:jc w:val="center"/>
    </w:pPr>
    <w:rPr>
      <w:rFonts w:ascii="Times New Roman" w:hAnsi="Times New Roman" w:cs="Times New Roman"/>
      <w:b/>
      <w:sz w:val="24"/>
    </w:rPr>
  </w:style>
  <w:style w:type="character" w:customStyle="1" w:styleId="Added">
    <w:name w:val="Added"/>
    <w:basedOn w:val="DefaultParagraphFont"/>
    <w:rsid w:val="00D45A17"/>
    <w:rPr>
      <w:b/>
      <w:u w:val="single"/>
      <w:shd w:val="clear" w:color="auto" w:fill="auto"/>
    </w:rPr>
  </w:style>
  <w:style w:type="character" w:customStyle="1" w:styleId="Deleted">
    <w:name w:val="Deleted"/>
    <w:basedOn w:val="DefaultParagraphFont"/>
    <w:rsid w:val="00D45A17"/>
    <w:rPr>
      <w:strike/>
      <w:dstrike w:val="0"/>
      <w:shd w:val="clear" w:color="auto" w:fill="auto"/>
    </w:rPr>
  </w:style>
  <w:style w:type="paragraph" w:customStyle="1" w:styleId="Address">
    <w:name w:val="Address"/>
    <w:basedOn w:val="Normal"/>
    <w:next w:val="Normal"/>
    <w:rsid w:val="00D45A17"/>
    <w:pPr>
      <w:keepLines/>
      <w:spacing w:before="120" w:after="120" w:line="360" w:lineRule="auto"/>
      <w:ind w:left="3402"/>
    </w:pPr>
    <w:rPr>
      <w:rFonts w:ascii="Times New Roman" w:hAnsi="Times New Roman" w:cs="Times New Roman"/>
      <w:sz w:val="24"/>
    </w:rPr>
  </w:style>
  <w:style w:type="paragraph" w:customStyle="1" w:styleId="Objetexterne">
    <w:name w:val="Objet externe"/>
    <w:basedOn w:val="Normal"/>
    <w:next w:val="Normal"/>
    <w:rsid w:val="00D45A17"/>
    <w:pPr>
      <w:spacing w:before="120" w:after="120" w:line="240" w:lineRule="auto"/>
      <w:jc w:val="both"/>
    </w:pPr>
    <w:rPr>
      <w:rFonts w:ascii="Times New Roman" w:hAnsi="Times New Roman" w:cs="Times New Roman"/>
      <w:i/>
      <w:caps/>
      <w:sz w:val="24"/>
    </w:rPr>
  </w:style>
  <w:style w:type="paragraph" w:customStyle="1" w:styleId="Supertitre">
    <w:name w:val="Supertitre"/>
    <w:basedOn w:val="Normal"/>
    <w:next w:val="Normal"/>
    <w:rsid w:val="00D45A17"/>
    <w:pPr>
      <w:spacing w:after="600" w:line="240" w:lineRule="auto"/>
      <w:jc w:val="center"/>
    </w:pPr>
    <w:rPr>
      <w:rFonts w:ascii="Times New Roman" w:hAnsi="Times New Roman" w:cs="Times New Roman"/>
      <w:b/>
      <w:sz w:val="24"/>
    </w:rPr>
  </w:style>
  <w:style w:type="paragraph" w:customStyle="1" w:styleId="Languesfaisantfoi">
    <w:name w:val="Langues faisant foi"/>
    <w:basedOn w:val="Normal"/>
    <w:next w:val="Normal"/>
    <w:rsid w:val="00D45A17"/>
    <w:pPr>
      <w:spacing w:before="360" w:after="0" w:line="240" w:lineRule="auto"/>
      <w:jc w:val="center"/>
    </w:pPr>
    <w:rPr>
      <w:rFonts w:ascii="Times New Roman" w:hAnsi="Times New Roman" w:cs="Times New Roman"/>
      <w:sz w:val="24"/>
    </w:rPr>
  </w:style>
  <w:style w:type="paragraph" w:customStyle="1" w:styleId="Rfrencecroise">
    <w:name w:val="Référence croisée"/>
    <w:basedOn w:val="Normal"/>
    <w:rsid w:val="00D45A17"/>
    <w:pPr>
      <w:spacing w:after="0" w:line="240" w:lineRule="auto"/>
      <w:jc w:val="center"/>
    </w:pPr>
    <w:rPr>
      <w:rFonts w:ascii="Times New Roman" w:hAnsi="Times New Roman" w:cs="Times New Roman"/>
      <w:sz w:val="24"/>
    </w:rPr>
  </w:style>
  <w:style w:type="paragraph" w:customStyle="1" w:styleId="Fichefinanciretitre">
    <w:name w:val="Fiche financière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DatedadoptionPagedecouverture">
    <w:name w:val="Date d'adoption (Page de couverture)"/>
    <w:basedOn w:val="Datedadoption"/>
    <w:next w:val="IntrtEEEPagedecouverture"/>
    <w:rsid w:val="00D45A17"/>
  </w:style>
  <w:style w:type="paragraph" w:customStyle="1" w:styleId="RfrenceinterinstitutionnellePagedecouverture">
    <w:name w:val="Référence interinstitutionnelle (Page de couverture)"/>
    <w:basedOn w:val="Rfrenceinterinstitutionnelle"/>
    <w:next w:val="Confidentialit"/>
    <w:rsid w:val="00D45A17"/>
  </w:style>
  <w:style w:type="paragraph" w:customStyle="1" w:styleId="StatutPagedecouverture">
    <w:name w:val="Statut (Page de couverture)"/>
    <w:basedOn w:val="Statut"/>
    <w:next w:val="TypedudocumentPagedecouverture"/>
    <w:rsid w:val="00D45A17"/>
  </w:style>
  <w:style w:type="paragraph" w:customStyle="1" w:styleId="TypedudocumentPagedecouverture">
    <w:name w:val="Type du document (Page de couverture)"/>
    <w:basedOn w:val="Typedudocument"/>
    <w:next w:val="AccompagnantPagedecouverture"/>
    <w:rsid w:val="00D45A17"/>
  </w:style>
  <w:style w:type="paragraph" w:customStyle="1" w:styleId="Volume">
    <w:name w:val="Volume"/>
    <w:basedOn w:val="Normal"/>
    <w:next w:val="Confidentialit"/>
    <w:rsid w:val="00D45A17"/>
    <w:pPr>
      <w:spacing w:after="240" w:line="240" w:lineRule="auto"/>
      <w:ind w:left="5103"/>
    </w:pPr>
    <w:rPr>
      <w:rFonts w:ascii="Times New Roman" w:hAnsi="Times New Roman" w:cs="Times New Roman"/>
      <w:sz w:val="24"/>
    </w:rPr>
  </w:style>
  <w:style w:type="paragraph" w:customStyle="1" w:styleId="IntrtEEE">
    <w:name w:val="Intérêt EEE"/>
    <w:basedOn w:val="Languesfaisantfoi"/>
    <w:next w:val="Normal"/>
    <w:rsid w:val="00D45A17"/>
    <w:pPr>
      <w:spacing w:after="240"/>
    </w:pPr>
  </w:style>
  <w:style w:type="paragraph" w:customStyle="1" w:styleId="Accompagnant">
    <w:name w:val="Accompagnant"/>
    <w:basedOn w:val="Normal"/>
    <w:next w:val="Typeacteprincipal"/>
    <w:rsid w:val="00D45A17"/>
    <w:pPr>
      <w:spacing w:before="180" w:after="240" w:line="240" w:lineRule="auto"/>
      <w:jc w:val="center"/>
    </w:pPr>
    <w:rPr>
      <w:rFonts w:ascii="Times New Roman" w:hAnsi="Times New Roman" w:cs="Times New Roman"/>
      <w:b/>
      <w:sz w:val="24"/>
    </w:rPr>
  </w:style>
  <w:style w:type="paragraph" w:customStyle="1" w:styleId="Typeacteprincipal">
    <w:name w:val="Type acte principal"/>
    <w:basedOn w:val="Normal"/>
    <w:next w:val="Objetacteprincipal"/>
    <w:rsid w:val="00D45A17"/>
    <w:pPr>
      <w:spacing w:after="240" w:line="240" w:lineRule="auto"/>
      <w:jc w:val="center"/>
    </w:pPr>
    <w:rPr>
      <w:rFonts w:ascii="Times New Roman" w:hAnsi="Times New Roman" w:cs="Times New Roman"/>
      <w:b/>
      <w:sz w:val="24"/>
    </w:rPr>
  </w:style>
  <w:style w:type="paragraph" w:customStyle="1" w:styleId="Objetacteprincipal">
    <w:name w:val="Objet acte principal"/>
    <w:basedOn w:val="Normal"/>
    <w:next w:val="Titrearticle"/>
    <w:rsid w:val="00D45A17"/>
    <w:pPr>
      <w:spacing w:after="360" w:line="240" w:lineRule="auto"/>
      <w:jc w:val="center"/>
    </w:pPr>
    <w:rPr>
      <w:rFonts w:ascii="Times New Roman" w:hAnsi="Times New Roman" w:cs="Times New Roman"/>
      <w:b/>
      <w:sz w:val="24"/>
    </w:rPr>
  </w:style>
  <w:style w:type="paragraph" w:customStyle="1" w:styleId="IntrtEEEPagedecouverture">
    <w:name w:val="Intérêt EEE (Page de couverture)"/>
    <w:basedOn w:val="IntrtEEE"/>
    <w:next w:val="Rfrencecroise"/>
    <w:rsid w:val="00D45A17"/>
  </w:style>
  <w:style w:type="paragraph" w:customStyle="1" w:styleId="AccompagnantPagedecouverture">
    <w:name w:val="Accompagnant (Page de couverture)"/>
    <w:basedOn w:val="Accompagnant"/>
    <w:next w:val="TypeacteprincipalPagedecouverture"/>
    <w:rsid w:val="00D45A17"/>
  </w:style>
  <w:style w:type="paragraph" w:customStyle="1" w:styleId="TypeacteprincipalPagedecouverture">
    <w:name w:val="Type acte principal (Page de couverture)"/>
    <w:basedOn w:val="Typeacteprincipal"/>
    <w:next w:val="ObjetacteprincipalPagedecouverture"/>
    <w:rsid w:val="00D45A17"/>
  </w:style>
  <w:style w:type="paragraph" w:customStyle="1" w:styleId="ObjetacteprincipalPagedecouverture">
    <w:name w:val="Objet acte principal (Page de couverture)"/>
    <w:basedOn w:val="Objetacteprincipal"/>
    <w:next w:val="Rfrencecroise"/>
    <w:rsid w:val="00D45A17"/>
  </w:style>
  <w:style w:type="paragraph" w:customStyle="1" w:styleId="LanguesfaisantfoiPagedecouverture">
    <w:name w:val="Langues faisant foi (Page de couverture)"/>
    <w:basedOn w:val="Normal"/>
    <w:next w:val="Normal"/>
    <w:rsid w:val="00D45A17"/>
    <w:pPr>
      <w:spacing w:before="360" w:after="0" w:line="240" w:lineRule="auto"/>
      <w:jc w:val="center"/>
    </w:pPr>
    <w:rPr>
      <w:rFonts w:ascii="Times New Roman" w:hAnsi="Times New Roman" w:cs="Times New Roman"/>
      <w:sz w:val="24"/>
    </w:rPr>
  </w:style>
  <w:style w:type="paragraph" w:styleId="Revision">
    <w:name w:val="Revision"/>
    <w:hidden/>
    <w:uiPriority w:val="99"/>
    <w:semiHidden/>
    <w:rsid w:val="00F9018A"/>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dCeDNiQPUV9CTZAegr2iHfy8YQ==">CgMxLjAyD2lkLmQ1cDg4MHlmbTZmdTIOaC50a2h6MWd5NDczN20yDmguODB3NWFnMjB5aWNxOAByITFRUVYxQWxta2s5akczWGRTNE9IYS0xbjhpN1Z5dEZwaA==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23</Pages>
  <Words>7312</Words>
  <Characters>40220</Characters>
  <Application>Microsoft Office Word</Application>
  <DocSecurity>0</DocSecurity>
  <Lines>335</Lines>
  <Paragraphs>94</Paragraphs>
  <ScaleCrop>false</ScaleCrop>
  <Company/>
  <LinksUpToDate>false</LinksUpToDate>
  <CharactersWithSpaces>47438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5</cp:revision>
  <dcterms:created xsi:type="dcterms:W3CDTF">2021-05-21T10:06:00Z</dcterms:created>
  <dcterms:modified xsi:type="dcterms:W3CDTF">2026-03-12T12:30:00Z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tatus">
    <vt:lpwstr>Green</vt:lpwstr>
  </property>
  <property fmtid="{D5CDD505-2E9C-101B-9397-08002B2CF9AE}" pid="3" name="Level of sensitivity">
    <vt:lpwstr>Standard treatment</vt:lpwstr>
  </property>
  <property fmtid="{D5CDD505-2E9C-101B-9397-08002B2CF9AE}" pid="4" name="Last edited using">
    <vt:lpwstr>LW 7.0, Build 20190717</vt:lpwstr>
  </property>
  <property fmtid="{D5CDD505-2E9C-101B-9397-08002B2CF9AE}" pid="5" name="First annex">
    <vt:lpwstr>1</vt:lpwstr>
  </property>
  <property fmtid="{D5CDD505-2E9C-101B-9397-08002B2CF9AE}" pid="6" name="Last annex">
    <vt:lpwstr>1</vt:lpwstr>
  </property>
  <property fmtid="{D5CDD505-2E9C-101B-9397-08002B2CF9AE}" pid="7" name="Unique annex">
    <vt:lpwstr>1</vt:lpwstr>
  </property>
  <property fmtid="{D5CDD505-2E9C-101B-9397-08002B2CF9AE}" pid="8" name="Part">
    <vt:lpwstr>1</vt:lpwstr>
  </property>
  <property fmtid="{D5CDD505-2E9C-101B-9397-08002B2CF9AE}" pid="9" name="Total parts">
    <vt:lpwstr>1</vt:lpwstr>
  </property>
  <property fmtid="{D5CDD505-2E9C-101B-9397-08002B2CF9AE}" pid="10" name="CPTemplateID">
    <vt:lpwstr>CP-038</vt:lpwstr>
  </property>
</Properties>
</file>